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400" w:lineRule="exact"/>
        <w:jc w:val="center"/>
        <w:rPr>
          <w:rFonts w:hint="default" w:ascii="黑体" w:hAnsi="Times New Roman" w:eastAsia="黑体"/>
          <w:b w:val="0"/>
          <w:sz w:val="30"/>
          <w:szCs w:val="30"/>
        </w:rPr>
      </w:pPr>
      <w:bookmarkStart w:id="0" w:name="_GoBack"/>
      <w:bookmarkEnd w:id="0"/>
      <w:r>
        <w:rPr>
          <w:rFonts w:ascii="黑体" w:hAnsi="Times New Roman" w:eastAsia="黑体"/>
          <w:b w:val="0"/>
          <w:sz w:val="30"/>
          <w:szCs w:val="30"/>
        </w:rPr>
        <w:t>江西科技师范大学美术学院</w:t>
      </w:r>
    </w:p>
    <w:p>
      <w:pPr>
        <w:pStyle w:val="2"/>
        <w:widowControl/>
        <w:spacing w:line="400" w:lineRule="exact"/>
        <w:jc w:val="center"/>
        <w:rPr>
          <w:rFonts w:hint="default" w:ascii="黑体" w:hAnsi="Times New Roman" w:eastAsia="黑体"/>
          <w:b w:val="0"/>
          <w:sz w:val="30"/>
          <w:szCs w:val="30"/>
        </w:rPr>
      </w:pPr>
      <w:r>
        <w:rPr>
          <w:rFonts w:ascii="黑体" w:hAnsi="Times New Roman" w:eastAsia="黑体"/>
          <w:b w:val="0"/>
          <w:sz w:val="30"/>
          <w:szCs w:val="30"/>
        </w:rPr>
        <w:t>2020年硕士研究生招生复试及录取工作方案</w:t>
      </w:r>
    </w:p>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根据</w:t>
      </w:r>
      <w:r>
        <w:rPr>
          <w:rFonts w:hint="eastAsia" w:ascii="宋体" w:hAnsi="宋体" w:eastAsia="宋体" w:cs="宋体"/>
          <w:bCs/>
        </w:rPr>
        <w:t>教育部办公厅《关于做好2020年全国硕士研究生复试工作的通知》（</w:t>
      </w:r>
      <w:r>
        <w:rPr>
          <w:rFonts w:hint="eastAsia" w:ascii="宋体" w:hAnsi="宋体" w:eastAsia="宋体" w:cs="宋体"/>
        </w:rPr>
        <w:t>教学厅〔2020〕4号</w:t>
      </w:r>
      <w:r>
        <w:rPr>
          <w:rFonts w:hint="eastAsia" w:ascii="宋体" w:hAnsi="宋体" w:eastAsia="宋体" w:cs="宋体"/>
          <w:bCs/>
        </w:rPr>
        <w:t>）</w:t>
      </w:r>
      <w:r>
        <w:rPr>
          <w:rFonts w:hint="eastAsia" w:ascii="宋体" w:hAnsi="宋体" w:eastAsia="宋体" w:cs="宋体"/>
        </w:rPr>
        <w:t>、教育部《2020年全国硕士研究生招生工作管理规定》（教学函〔2019〕6号）、《关于加强硕士研究生招生复试工作的指导意见》（教学〔2006〕4号）等文件以及国家教育部及江西省教育厅有关会议精神和要求，以及《江西科技师范大学2020年硕士研究生招生复试及录取工作方案》。现结合我院实际，制定本办法。</w:t>
      </w:r>
    </w:p>
    <w:p>
      <w:pPr>
        <w:pStyle w:val="5"/>
        <w:adjustRightInd w:val="0"/>
        <w:snapToGrid w:val="0"/>
        <w:spacing w:beforeAutospacing="0" w:afterAutospacing="0"/>
        <w:ind w:firstLine="482" w:firstLineChars="200"/>
        <w:jc w:val="both"/>
        <w:rPr>
          <w:rFonts w:ascii="宋体" w:hAnsi="宋体" w:eastAsia="宋体" w:cs="宋体"/>
          <w:b/>
          <w:bCs/>
        </w:rPr>
      </w:pPr>
      <w:r>
        <w:rPr>
          <w:rFonts w:hint="eastAsia" w:ascii="宋体" w:hAnsi="宋体" w:eastAsia="宋体" w:cs="宋体"/>
          <w:b/>
          <w:bCs/>
        </w:rPr>
        <w:t>一、指导思想</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深入贯彻落实习近平总书记关于统筹推进新冠肺炎疫情防控和经济社会发展工作的重要讲话和重要指示批示精神，坚持硕士研究生招生“按需招生、全面衡量、择优录取、宁缺毋滥”原则，进一步加强复试考核环节，严格复试录取规程，建立各种监督和防疫机制，严明工作纪律，在确保安全性、公平性和科学性的基础上，稳妥做好2020年我校硕士研究生复试工作。</w:t>
      </w:r>
    </w:p>
    <w:p>
      <w:pPr>
        <w:pStyle w:val="5"/>
        <w:adjustRightInd w:val="0"/>
        <w:snapToGrid w:val="0"/>
        <w:spacing w:beforeAutospacing="0" w:afterAutospacing="0"/>
        <w:ind w:firstLine="482" w:firstLineChars="200"/>
        <w:jc w:val="both"/>
        <w:rPr>
          <w:rFonts w:ascii="宋体" w:hAnsi="宋体" w:eastAsia="宋体" w:cs="宋体"/>
          <w:b/>
          <w:bCs/>
        </w:rPr>
      </w:pPr>
      <w:r>
        <w:rPr>
          <w:rFonts w:hint="eastAsia" w:ascii="宋体" w:hAnsi="宋体" w:eastAsia="宋体" w:cs="宋体"/>
          <w:b/>
          <w:bCs/>
        </w:rPr>
        <w:t>二、组织领导</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领导小组和复试小组的具体工作职责和要求：</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1. 按教育部及学校的有关规定，制定符合学院招生学科（专业）特点的复试录取工作方案；同时负责组织落实复试各环节疫情防控工作；</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2. 复试教师及工作人员的选聘、疫情防控、安全保密、业务知识和操作流程等教育培训工作；</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3. 学院复试科目（含笔试、加试、面试试题）的命题、制卷、考试组织、评卷和考评工作。复试科目试题及答案在启用前均系国家秘密材料，要切实落实安全保密责任制，所有命题、评卷等涉密人员必须签订《保密责任书》；</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4. 填报复试结果汇总表（含考生复试科目成绩、综合能力面试成绩、外语听说能力测试成绩、同等学力考生加试科目成绩等）；</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5. 试题命题库的组织工作；</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6. 将学院复试录取过程材料汇总（包括视频音频资料）提交至学校硕士研究生招生录取领导小组；</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7. 做好学院复试录取各项信息公开工作等。</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8.学院纪检委员对复试工作进行全过程监督，重点做好评委抽选、试题命制、网上面试等环节的监督工作。</w:t>
      </w:r>
    </w:p>
    <w:p>
      <w:pPr>
        <w:pStyle w:val="5"/>
        <w:adjustRightInd w:val="0"/>
        <w:snapToGrid w:val="0"/>
        <w:spacing w:beforeAutospacing="0" w:afterAutospacing="0"/>
        <w:jc w:val="both"/>
        <w:rPr>
          <w:rFonts w:ascii="宋体" w:hAnsi="宋体" w:eastAsia="宋体" w:cs="宋体"/>
          <w:b/>
          <w:bCs/>
        </w:rPr>
      </w:pPr>
      <w:r>
        <w:rPr>
          <w:rFonts w:hint="eastAsia" w:ascii="宋体" w:hAnsi="宋体" w:eastAsia="宋体" w:cs="宋体"/>
          <w:b/>
          <w:bCs/>
        </w:rPr>
        <w:t>三、学院复试工作组的具体工作职责和要求：</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1. 在本学院复试录取工作领导小组的指导下，制定复试实施细则和工作流程，具体实施复试考核；</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2. 本学科专业复试题库的建立工作；</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3. 考生的资格审查、思想政治考核；</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4. 考生的复试笔试及综合能力面试、外语听说能力测试等，同一专业各复试小组试题的难易程度、面（测）试要求和成绩评定标准要明确统一，以保证整个面（测）试过程的一致性、连贯性和公正性。复试全程要录音录像。</w:t>
      </w:r>
    </w:p>
    <w:p>
      <w:pPr>
        <w:pStyle w:val="5"/>
        <w:adjustRightInd w:val="0"/>
        <w:snapToGrid w:val="0"/>
        <w:spacing w:beforeAutospacing="0" w:afterAutospacing="0"/>
        <w:ind w:firstLine="480" w:firstLineChars="200"/>
        <w:jc w:val="both"/>
        <w:rPr>
          <w:rFonts w:ascii="宋体" w:hAnsi="宋体" w:eastAsia="宋体" w:cs="宋体"/>
        </w:rPr>
      </w:pPr>
      <w:r>
        <w:rPr>
          <w:rFonts w:hint="eastAsia" w:ascii="宋体" w:hAnsi="宋体" w:eastAsia="宋体" w:cs="宋体"/>
        </w:rPr>
        <w:t>5. 填写《2020年硕士研究生综合能力面试记录表》，并须当场评出考生的综合能力面试成绩表。复试小组成员须现场独立评分，取算术平均值为最终成绩，评分记录和考生作答情况要交研究生院招生管理部门集中统一保管，任何人不得改动。</w:t>
      </w:r>
    </w:p>
    <w:p>
      <w:pPr>
        <w:pStyle w:val="5"/>
        <w:widowControl/>
        <w:snapToGrid w:val="0"/>
        <w:spacing w:beforeAutospacing="0" w:afterAutospacing="0"/>
        <w:ind w:firstLine="482" w:firstLineChars="200"/>
        <w:jc w:val="both"/>
        <w:rPr>
          <w:rFonts w:ascii="宋体" w:hAnsi="宋体" w:eastAsia="宋体" w:cs="宋体"/>
          <w:b/>
          <w:bCs/>
        </w:rPr>
      </w:pPr>
      <w:r>
        <w:rPr>
          <w:rFonts w:hint="eastAsia" w:ascii="宋体" w:hAnsi="宋体" w:eastAsia="宋体" w:cs="宋体"/>
          <w:b/>
          <w:bCs/>
        </w:rPr>
        <w:t>四、复试</w:t>
      </w:r>
    </w:p>
    <w:p>
      <w:pPr>
        <w:pStyle w:val="5"/>
        <w:widowControl/>
        <w:spacing w:beforeAutospacing="0" w:afterAutospacing="0"/>
        <w:ind w:firstLine="480" w:firstLineChars="200"/>
        <w:jc w:val="both"/>
        <w:rPr>
          <w:rFonts w:ascii="宋体" w:hAnsi="宋体" w:eastAsia="宋体" w:cs="宋体"/>
        </w:rPr>
      </w:pPr>
      <w:r>
        <w:rPr>
          <w:rFonts w:hint="eastAsia" w:ascii="宋体" w:hAnsi="宋体" w:eastAsia="宋体" w:cs="宋体"/>
        </w:rPr>
        <w:t>（一）复试分数线和比例要求</w:t>
      </w:r>
    </w:p>
    <w:p>
      <w:pPr>
        <w:pStyle w:val="5"/>
        <w:widowControl/>
        <w:spacing w:beforeAutospacing="0" w:afterAutospacing="0"/>
        <w:ind w:firstLine="480" w:firstLineChars="200"/>
        <w:jc w:val="both"/>
        <w:rPr>
          <w:rFonts w:ascii="宋体" w:hAnsi="宋体" w:eastAsia="宋体" w:cs="宋体"/>
        </w:rPr>
      </w:pPr>
      <w:r>
        <w:rPr>
          <w:rFonts w:hint="eastAsia" w:ascii="宋体" w:hAnsi="宋体" w:eastAsia="宋体" w:cs="宋体"/>
        </w:rPr>
        <w:t>1. 2020年我院研究生招生依据国家统一要求，执行相同政策和标准。</w:t>
      </w:r>
    </w:p>
    <w:p>
      <w:pPr>
        <w:pStyle w:val="5"/>
        <w:widowControl/>
        <w:spacing w:beforeAutospacing="0" w:afterAutospacing="0"/>
        <w:ind w:firstLine="480" w:firstLineChars="200"/>
        <w:jc w:val="both"/>
        <w:rPr>
          <w:rFonts w:ascii="宋体" w:hAnsi="宋体" w:eastAsia="宋体" w:cs="宋体"/>
          <w:shd w:val="clear" w:color="FFFFFF" w:fill="D9D9D9"/>
        </w:rPr>
      </w:pPr>
      <w:r>
        <w:rPr>
          <w:rFonts w:hint="eastAsia" w:ascii="宋体" w:hAnsi="宋体" w:eastAsia="宋体" w:cs="宋体"/>
        </w:rPr>
        <w:t>2. 学院在教育部划定的《2020年全国硕士研究生统一入学考试考生进入复试的初试成绩基本要求》（以下简称《全国初试成绩基本要求》）基础上，结合生源和招生计划等情况，确定报考本学院招生专业的复试分数线。复试应采取差额形式，复试差额比例为150%。</w:t>
      </w:r>
    </w:p>
    <w:p>
      <w:pPr>
        <w:pStyle w:val="5"/>
        <w:widowControl/>
        <w:spacing w:beforeAutospacing="0" w:afterAutospacing="0"/>
        <w:ind w:firstLine="480" w:firstLineChars="200"/>
        <w:jc w:val="both"/>
        <w:rPr>
          <w:rFonts w:ascii="宋体" w:hAnsi="宋体" w:eastAsia="宋体" w:cs="宋体"/>
        </w:rPr>
      </w:pPr>
      <w:r>
        <w:rPr>
          <w:rFonts w:hint="eastAsia" w:ascii="宋体" w:hAnsi="宋体" w:eastAsia="宋体" w:cs="宋体"/>
        </w:rPr>
        <w:t>（二）复试方式：采用网络远程视频复试</w:t>
      </w:r>
    </w:p>
    <w:p>
      <w:pPr>
        <w:ind w:firstLine="480" w:firstLineChars="200"/>
        <w:rPr>
          <w:rFonts w:ascii="宋体" w:hAnsi="宋体" w:eastAsia="宋体" w:cs="宋体"/>
          <w:kern w:val="0"/>
          <w:sz w:val="24"/>
        </w:rPr>
      </w:pPr>
      <w:r>
        <w:rPr>
          <w:rFonts w:hint="eastAsia" w:ascii="宋体" w:hAnsi="宋体" w:eastAsia="宋体" w:cs="宋体"/>
          <w:kern w:val="0"/>
          <w:sz w:val="24"/>
        </w:rPr>
        <w:t>1. 学校端</w:t>
      </w:r>
    </w:p>
    <w:p>
      <w:pPr>
        <w:ind w:firstLine="480" w:firstLineChars="200"/>
        <w:rPr>
          <w:rFonts w:ascii="宋体" w:hAnsi="宋体" w:eastAsia="宋体" w:cs="宋体"/>
          <w:kern w:val="0"/>
          <w:sz w:val="24"/>
        </w:rPr>
      </w:pPr>
      <w:r>
        <w:rPr>
          <w:rFonts w:hint="eastAsia" w:ascii="宋体" w:hAnsi="宋体" w:eastAsia="宋体" w:cs="宋体"/>
          <w:kern w:val="0"/>
          <w:sz w:val="24"/>
        </w:rPr>
        <w:t>各面试专家组集中面试。</w:t>
      </w:r>
    </w:p>
    <w:p>
      <w:pPr>
        <w:ind w:firstLine="480" w:firstLineChars="200"/>
        <w:rPr>
          <w:rFonts w:ascii="宋体" w:hAnsi="宋体" w:eastAsia="宋体" w:cs="宋体"/>
          <w:kern w:val="0"/>
          <w:sz w:val="24"/>
        </w:rPr>
      </w:pPr>
      <w:r>
        <w:rPr>
          <w:rFonts w:hint="eastAsia" w:ascii="宋体" w:hAnsi="宋体" w:eastAsia="宋体" w:cs="宋体"/>
          <w:kern w:val="0"/>
          <w:sz w:val="24"/>
        </w:rPr>
        <w:t>2. 考生端</w:t>
      </w:r>
    </w:p>
    <w:p>
      <w:pPr>
        <w:ind w:firstLine="480" w:firstLineChars="200"/>
        <w:rPr>
          <w:rFonts w:ascii="宋体" w:hAnsi="宋体" w:eastAsia="宋体" w:cs="宋体"/>
          <w:kern w:val="0"/>
          <w:sz w:val="24"/>
        </w:rPr>
      </w:pPr>
      <w:r>
        <w:rPr>
          <w:rFonts w:hint="eastAsia" w:ascii="宋体" w:hAnsi="宋体" w:eastAsia="宋体" w:cs="宋体"/>
          <w:kern w:val="0"/>
          <w:sz w:val="24"/>
        </w:rPr>
        <w:t>考生分散在家、宿舍等地点（严禁在培训机构），以网络视频形式参加复试。</w:t>
      </w:r>
    </w:p>
    <w:p>
      <w:pPr>
        <w:ind w:firstLine="480" w:firstLineChars="200"/>
        <w:rPr>
          <w:rFonts w:ascii="宋体" w:hAnsi="宋体" w:eastAsia="宋体" w:cs="宋体"/>
          <w:kern w:val="0"/>
          <w:sz w:val="24"/>
        </w:rPr>
      </w:pPr>
      <w:r>
        <w:rPr>
          <w:rFonts w:hint="eastAsia" w:ascii="宋体" w:hAnsi="宋体" w:eastAsia="宋体" w:cs="宋体"/>
          <w:kern w:val="0"/>
          <w:sz w:val="24"/>
        </w:rPr>
        <w:t>3. 网络远程视频复试平台</w:t>
      </w:r>
    </w:p>
    <w:p>
      <w:pPr>
        <w:ind w:firstLine="480" w:firstLineChars="200"/>
        <w:rPr>
          <w:rFonts w:ascii="宋体" w:hAnsi="宋体" w:eastAsia="宋体" w:cs="宋体"/>
          <w:kern w:val="0"/>
          <w:sz w:val="24"/>
        </w:rPr>
      </w:pPr>
      <w:r>
        <w:rPr>
          <w:rFonts w:hint="eastAsia" w:ascii="宋体" w:hAnsi="宋体" w:eastAsia="宋体" w:cs="宋体"/>
          <w:kern w:val="0"/>
          <w:sz w:val="24"/>
        </w:rPr>
        <w:t>原则上使用学信网开发的“研招远程面试系统”、阿里钉钉等支持远程视频的应用软件。</w:t>
      </w:r>
    </w:p>
    <w:p>
      <w:pPr>
        <w:ind w:firstLine="480" w:firstLineChars="200"/>
        <w:rPr>
          <w:rFonts w:ascii="宋体" w:hAnsi="宋体" w:eastAsia="宋体" w:cs="宋体"/>
          <w:kern w:val="0"/>
          <w:sz w:val="24"/>
        </w:rPr>
      </w:pPr>
      <w:r>
        <w:rPr>
          <w:rFonts w:hint="eastAsia" w:ascii="宋体" w:hAnsi="宋体" w:eastAsia="宋体" w:cs="宋体"/>
          <w:kern w:val="0"/>
          <w:sz w:val="24"/>
        </w:rPr>
        <w:t>4. 网络远程视频复试平台及硬件要求，详见考生须知和各学院后续通知。</w:t>
      </w:r>
    </w:p>
    <w:p>
      <w:pPr>
        <w:pStyle w:val="5"/>
        <w:widowControl/>
        <w:spacing w:beforeAutospacing="0" w:afterAutospacing="0"/>
        <w:ind w:firstLine="480" w:firstLineChars="200"/>
        <w:jc w:val="both"/>
        <w:rPr>
          <w:rFonts w:ascii="宋体" w:hAnsi="宋体" w:eastAsia="宋体" w:cs="宋体"/>
        </w:rPr>
      </w:pPr>
      <w:r>
        <w:rPr>
          <w:rFonts w:hint="eastAsia" w:ascii="宋体" w:hAnsi="宋体" w:eastAsia="宋体" w:cs="宋体"/>
        </w:rPr>
        <w:t>（三）复试时间</w:t>
      </w:r>
    </w:p>
    <w:p>
      <w:pPr>
        <w:ind w:firstLine="480" w:firstLineChars="200"/>
        <w:rPr>
          <w:rFonts w:ascii="宋体" w:hAnsi="宋体" w:eastAsia="宋体" w:cs="宋体"/>
          <w:kern w:val="0"/>
          <w:sz w:val="24"/>
        </w:rPr>
      </w:pPr>
      <w:r>
        <w:rPr>
          <w:rFonts w:hint="eastAsia" w:ascii="宋体" w:hAnsi="宋体" w:eastAsia="宋体" w:cs="宋体"/>
          <w:kern w:val="0"/>
          <w:sz w:val="24"/>
        </w:rPr>
        <w:t>我院预计一志愿考生复试时间为5月18日9:00-17:00；</w:t>
      </w:r>
    </w:p>
    <w:p>
      <w:pPr>
        <w:ind w:firstLine="480" w:firstLineChars="200"/>
        <w:rPr>
          <w:rFonts w:ascii="宋体" w:hAnsi="宋体" w:eastAsia="宋体" w:cs="宋体"/>
          <w:kern w:val="0"/>
          <w:sz w:val="24"/>
        </w:rPr>
      </w:pPr>
      <w:r>
        <w:rPr>
          <w:rFonts w:hint="eastAsia" w:ascii="宋体" w:hAnsi="宋体" w:eastAsia="宋体" w:cs="宋体"/>
          <w:kern w:val="0"/>
          <w:sz w:val="24"/>
        </w:rPr>
        <w:t>调剂生复试时间在国家教育部指定的“全国硕士生招生调剂服务系统”开放后一周左右开始进行。</w:t>
      </w:r>
    </w:p>
    <w:p>
      <w:pPr>
        <w:pStyle w:val="5"/>
        <w:widowControl/>
        <w:spacing w:beforeAutospacing="0" w:afterAutospacing="0"/>
        <w:ind w:firstLine="480" w:firstLineChars="200"/>
        <w:jc w:val="both"/>
        <w:rPr>
          <w:rFonts w:ascii="宋体" w:hAnsi="宋体" w:eastAsia="宋体" w:cs="宋体"/>
        </w:rPr>
      </w:pPr>
      <w:r>
        <w:rPr>
          <w:rFonts w:hint="eastAsia" w:ascii="宋体" w:hAnsi="宋体" w:eastAsia="宋体" w:cs="宋体"/>
        </w:rPr>
        <w:t>（四）复试资格审查</w:t>
      </w:r>
    </w:p>
    <w:p>
      <w:pPr>
        <w:ind w:firstLine="480" w:firstLineChars="200"/>
        <w:rPr>
          <w:rFonts w:ascii="宋体" w:hAnsi="宋体" w:eastAsia="宋体" w:cs="宋体"/>
          <w:kern w:val="0"/>
          <w:sz w:val="24"/>
        </w:rPr>
      </w:pPr>
      <w:r>
        <w:rPr>
          <w:rFonts w:hint="eastAsia" w:ascii="宋体" w:hAnsi="宋体" w:eastAsia="宋体" w:cs="宋体"/>
          <w:kern w:val="0"/>
          <w:sz w:val="24"/>
        </w:rPr>
        <w:t>在复试前要学院对考生的居民身份证、学生证、学历学位证书、学历学籍核验结果等进行严格审查核验，对不符合规定者，不予复试。采取远程复试的，要会同技术平台提供方，积极运用“人脸识别”“人证识别”等技术，并通过综合比对“报考库”“学籍学历库”“人口信息库”“考生考试诚信档案库”等措施，加强对考生身份的审查核验，严防复试“替考”。</w:t>
      </w:r>
    </w:p>
    <w:p>
      <w:pPr>
        <w:ind w:firstLine="480" w:firstLineChars="200"/>
        <w:rPr>
          <w:rFonts w:ascii="宋体" w:hAnsi="宋体" w:eastAsia="宋体" w:cs="宋体"/>
          <w:sz w:val="24"/>
        </w:rPr>
      </w:pPr>
      <w:r>
        <w:rPr>
          <w:rFonts w:hint="eastAsia" w:ascii="宋体" w:hAnsi="宋体" w:eastAsia="宋体" w:cs="宋体"/>
          <w:sz w:val="24"/>
        </w:rPr>
        <w:t>考生应在规定时间内提交以下材料的图片或扫描件给学院：</w:t>
      </w:r>
    </w:p>
    <w:p>
      <w:pPr>
        <w:ind w:firstLine="480" w:firstLineChars="200"/>
        <w:rPr>
          <w:rFonts w:ascii="宋体" w:hAnsi="宋体" w:eastAsia="宋体" w:cs="宋体"/>
          <w:sz w:val="24"/>
        </w:rPr>
      </w:pPr>
      <w:r>
        <w:rPr>
          <w:rFonts w:hint="eastAsia" w:ascii="宋体" w:hAnsi="宋体" w:eastAsia="宋体" w:cs="宋体"/>
          <w:sz w:val="24"/>
        </w:rPr>
        <w:t>1．初试准考证（研招网下载）；</w:t>
      </w:r>
    </w:p>
    <w:p>
      <w:pPr>
        <w:ind w:firstLine="480" w:firstLineChars="200"/>
        <w:rPr>
          <w:rFonts w:ascii="宋体" w:hAnsi="宋体" w:eastAsia="宋体" w:cs="宋体"/>
          <w:sz w:val="24"/>
        </w:rPr>
      </w:pPr>
      <w:r>
        <w:rPr>
          <w:rFonts w:hint="eastAsia" w:ascii="宋体" w:hAnsi="宋体" w:eastAsia="宋体" w:cs="宋体"/>
          <w:sz w:val="24"/>
        </w:rPr>
        <w:t>2．第二代居民身份证；</w:t>
      </w:r>
    </w:p>
    <w:p>
      <w:pPr>
        <w:ind w:firstLine="480" w:firstLineChars="200"/>
        <w:rPr>
          <w:rFonts w:ascii="宋体" w:hAnsi="宋体" w:eastAsia="宋体" w:cs="宋体"/>
          <w:sz w:val="24"/>
        </w:rPr>
      </w:pPr>
      <w:r>
        <w:rPr>
          <w:rFonts w:hint="eastAsia" w:ascii="宋体" w:hAnsi="宋体" w:eastAsia="宋体" w:cs="宋体"/>
          <w:sz w:val="24"/>
        </w:rPr>
        <w:t>3．应届考生：学生证和</w:t>
      </w:r>
      <w:r>
        <w:rPr>
          <w:rFonts w:hint="eastAsia" w:ascii="宋体" w:hAnsi="宋体" w:eastAsia="宋体" w:cs="宋体"/>
          <w:kern w:val="0"/>
          <w:sz w:val="24"/>
        </w:rPr>
        <w:t>《教育部学籍在线验证报告》的下载件（网址：</w:t>
      </w:r>
      <w:r>
        <w:fldChar w:fldCharType="begin"/>
      </w:r>
      <w:r>
        <w:instrText xml:space="preserve"> HYPERLINK "http://www.chsi.com.cn/xlcx/bgcx.jsp" </w:instrText>
      </w:r>
      <w:r>
        <w:fldChar w:fldCharType="separate"/>
      </w:r>
      <w:r>
        <w:rPr>
          <w:rStyle w:val="9"/>
          <w:rFonts w:hint="eastAsia" w:ascii="宋体" w:hAnsi="宋体" w:eastAsia="宋体" w:cs="宋体"/>
          <w:color w:val="auto"/>
          <w:kern w:val="0"/>
          <w:sz w:val="24"/>
        </w:rPr>
        <w:t>http://www.chsi.com.cn/xlcx/bgcx.jsp</w:t>
      </w:r>
      <w:r>
        <w:rPr>
          <w:rStyle w:val="9"/>
          <w:rFonts w:hint="eastAsia" w:ascii="宋体" w:hAnsi="宋体" w:eastAsia="宋体" w:cs="宋体"/>
          <w:color w:val="auto"/>
          <w:kern w:val="0"/>
          <w:sz w:val="24"/>
        </w:rPr>
        <w:fldChar w:fldCharType="end"/>
      </w:r>
      <w:r>
        <w:rPr>
          <w:rFonts w:hint="eastAsia" w:ascii="宋体" w:hAnsi="宋体" w:eastAsia="宋体" w:cs="宋体"/>
          <w:sz w:val="24"/>
        </w:rPr>
        <w:t>）；</w:t>
      </w:r>
    </w:p>
    <w:p>
      <w:pPr>
        <w:ind w:firstLine="480" w:firstLineChars="200"/>
        <w:rPr>
          <w:rFonts w:ascii="宋体" w:hAnsi="宋体" w:eastAsia="宋体" w:cs="宋体"/>
          <w:sz w:val="24"/>
        </w:rPr>
      </w:pPr>
      <w:r>
        <w:rPr>
          <w:rFonts w:hint="eastAsia" w:ascii="宋体" w:hAnsi="宋体" w:eastAsia="宋体" w:cs="宋体"/>
          <w:sz w:val="24"/>
        </w:rPr>
        <w:t>4．历届考生：毕业证、学位证；</w:t>
      </w:r>
      <w:r>
        <w:rPr>
          <w:rFonts w:hint="eastAsia" w:ascii="宋体" w:hAnsi="宋体" w:eastAsia="宋体" w:cs="宋体"/>
          <w:kern w:val="0"/>
          <w:sz w:val="24"/>
        </w:rPr>
        <w:t>《教育部学历证书电子注册备案表》的下载件（网址：</w:t>
      </w:r>
      <w:r>
        <w:fldChar w:fldCharType="begin"/>
      </w:r>
      <w:r>
        <w:instrText xml:space="preserve"> HYPERLINK "http://www.chsi.com.cn/xlcx/" </w:instrText>
      </w:r>
      <w:r>
        <w:fldChar w:fldCharType="separate"/>
      </w:r>
      <w:r>
        <w:rPr>
          <w:rStyle w:val="9"/>
          <w:rFonts w:hint="eastAsia" w:ascii="宋体" w:hAnsi="宋体" w:eastAsia="宋体" w:cs="宋体"/>
          <w:color w:val="auto"/>
          <w:kern w:val="0"/>
          <w:sz w:val="24"/>
        </w:rPr>
        <w:t>http://www.chsi.com.cn/xlcx/</w:t>
      </w:r>
      <w:r>
        <w:rPr>
          <w:rStyle w:val="9"/>
          <w:rFonts w:hint="eastAsia" w:ascii="宋体" w:hAnsi="宋体" w:eastAsia="宋体" w:cs="宋体"/>
          <w:color w:val="auto"/>
          <w:kern w:val="0"/>
          <w:sz w:val="24"/>
        </w:rPr>
        <w:fldChar w:fldCharType="end"/>
      </w:r>
      <w:r>
        <w:rPr>
          <w:rFonts w:hint="eastAsia" w:ascii="宋体" w:hAnsi="宋体" w:eastAsia="宋体" w:cs="宋体"/>
          <w:kern w:val="0"/>
          <w:sz w:val="24"/>
        </w:rPr>
        <w:t>）；因毕业时间早而不能在线验证的，需提供教育部《中国高等教育学历认证报告》（网址：</w:t>
      </w:r>
      <w:r>
        <w:fldChar w:fldCharType="begin"/>
      </w:r>
      <w:r>
        <w:instrText xml:space="preserve"> HYPERLINK "http://www.chsi.com.cn/xlrz/" </w:instrText>
      </w:r>
      <w:r>
        <w:fldChar w:fldCharType="separate"/>
      </w:r>
      <w:r>
        <w:rPr>
          <w:rStyle w:val="9"/>
          <w:rFonts w:hint="eastAsia" w:ascii="宋体" w:hAnsi="宋体" w:eastAsia="宋体" w:cs="宋体"/>
          <w:color w:val="auto"/>
          <w:kern w:val="0"/>
          <w:sz w:val="24"/>
        </w:rPr>
        <w:t>http://www.chsi.com.cn/xlrz/</w:t>
      </w:r>
      <w:r>
        <w:rPr>
          <w:rStyle w:val="9"/>
          <w:rFonts w:hint="eastAsia" w:ascii="宋体" w:hAnsi="宋体" w:eastAsia="宋体" w:cs="宋体"/>
          <w:color w:val="auto"/>
          <w:kern w:val="0"/>
          <w:sz w:val="24"/>
        </w:rPr>
        <w:fldChar w:fldCharType="end"/>
      </w:r>
      <w:r>
        <w:rPr>
          <w:rFonts w:hint="eastAsia" w:ascii="宋体" w:hAnsi="宋体" w:eastAsia="宋体" w:cs="宋体"/>
          <w:kern w:val="0"/>
          <w:sz w:val="24"/>
        </w:rPr>
        <w:t>）</w:t>
      </w:r>
      <w:r>
        <w:rPr>
          <w:rFonts w:hint="eastAsia" w:ascii="宋体" w:hAnsi="宋体" w:eastAsia="宋体" w:cs="宋体"/>
          <w:sz w:val="24"/>
        </w:rPr>
        <w:t>；</w:t>
      </w:r>
    </w:p>
    <w:p>
      <w:pPr>
        <w:ind w:firstLine="480" w:firstLineChars="200"/>
        <w:rPr>
          <w:rFonts w:ascii="宋体" w:hAnsi="宋体" w:eastAsia="宋体" w:cs="宋体"/>
          <w:kern w:val="0"/>
          <w:sz w:val="24"/>
        </w:rPr>
      </w:pPr>
      <w:r>
        <w:rPr>
          <w:rFonts w:hint="eastAsia" w:ascii="宋体" w:hAnsi="宋体" w:eastAsia="宋体" w:cs="宋体"/>
          <w:sz w:val="24"/>
        </w:rPr>
        <w:t>5．</w:t>
      </w:r>
      <w:r>
        <w:rPr>
          <w:rFonts w:hint="eastAsia" w:ascii="宋体" w:hAnsi="宋体" w:eastAsia="宋体" w:cs="宋体"/>
          <w:kern w:val="0"/>
          <w:sz w:val="24"/>
        </w:rPr>
        <w:t>所在学校学籍管理部门盖有公章的成绩证明；</w:t>
      </w:r>
    </w:p>
    <w:p>
      <w:pPr>
        <w:ind w:firstLine="480" w:firstLineChars="200"/>
        <w:rPr>
          <w:rFonts w:ascii="宋体" w:hAnsi="宋体" w:eastAsia="宋体" w:cs="宋体"/>
          <w:sz w:val="24"/>
        </w:rPr>
      </w:pPr>
      <w:r>
        <w:rPr>
          <w:rFonts w:hint="eastAsia" w:ascii="宋体" w:hAnsi="宋体" w:eastAsia="宋体" w:cs="宋体"/>
          <w:sz w:val="24"/>
        </w:rPr>
        <w:t>6．政治审查材料（所有参加复试考生必须提供本人档案所在单位、户口所在地居委会或工作单位出具的思想政治鉴定材料）；</w:t>
      </w:r>
    </w:p>
    <w:p>
      <w:pPr>
        <w:ind w:firstLine="480" w:firstLineChars="200"/>
        <w:rPr>
          <w:rFonts w:ascii="宋体" w:hAnsi="宋体" w:eastAsia="宋体" w:cs="宋体"/>
          <w:kern w:val="0"/>
          <w:sz w:val="24"/>
        </w:rPr>
      </w:pPr>
      <w:r>
        <w:rPr>
          <w:rFonts w:hint="eastAsia" w:ascii="宋体" w:hAnsi="宋体" w:eastAsia="宋体" w:cs="宋体"/>
          <w:kern w:val="0"/>
          <w:sz w:val="24"/>
        </w:rPr>
        <w:t>7</w:t>
      </w:r>
      <w:r>
        <w:rPr>
          <w:rFonts w:hint="eastAsia" w:ascii="宋体" w:hAnsi="宋体" w:eastAsia="宋体" w:cs="宋体"/>
          <w:sz w:val="24"/>
        </w:rPr>
        <w:t>．</w:t>
      </w:r>
      <w:r>
        <w:rPr>
          <w:rFonts w:hint="eastAsia" w:ascii="宋体" w:hAnsi="宋体" w:eastAsia="宋体" w:cs="宋体"/>
          <w:kern w:val="0"/>
          <w:sz w:val="24"/>
        </w:rPr>
        <w:t>报考类别为定向的考生复试时还需提交加盖有关单位公章的定向协议书。</w:t>
      </w:r>
    </w:p>
    <w:p>
      <w:pPr>
        <w:ind w:firstLine="480" w:firstLineChars="200"/>
        <w:rPr>
          <w:rFonts w:ascii="宋体" w:hAnsi="宋体" w:eastAsia="宋体" w:cs="宋体"/>
          <w:sz w:val="24"/>
        </w:rPr>
      </w:pPr>
      <w:r>
        <w:rPr>
          <w:rFonts w:hint="eastAsia" w:ascii="宋体" w:hAnsi="宋体" w:eastAsia="宋体" w:cs="宋体"/>
          <w:sz w:val="24"/>
        </w:rPr>
        <w:t>少数民族高层骨干人才计划”的考生须提供《报考2020年少数民族高层次骨干人才计划硕士研究生考生登记表》。</w:t>
      </w:r>
    </w:p>
    <w:p>
      <w:pPr>
        <w:ind w:firstLine="480" w:firstLineChars="200"/>
        <w:rPr>
          <w:rFonts w:ascii="宋体" w:hAnsi="宋体" w:eastAsia="宋体" w:cs="宋体"/>
          <w:sz w:val="24"/>
        </w:rPr>
      </w:pPr>
      <w:r>
        <w:rPr>
          <w:rFonts w:hint="eastAsia" w:ascii="宋体" w:hAnsi="宋体" w:eastAsia="宋体" w:cs="宋体"/>
          <w:sz w:val="24"/>
        </w:rPr>
        <w:t>8．其他能力证明材料和各学院规定的其它材料。</w:t>
      </w:r>
    </w:p>
    <w:p>
      <w:pPr>
        <w:ind w:firstLine="480" w:firstLineChars="200"/>
        <w:rPr>
          <w:rFonts w:ascii="宋体" w:hAnsi="宋体" w:eastAsia="宋体" w:cs="宋体"/>
          <w:kern w:val="0"/>
          <w:sz w:val="24"/>
        </w:rPr>
      </w:pPr>
      <w:r>
        <w:rPr>
          <w:rFonts w:hint="eastAsia" w:ascii="宋体" w:hAnsi="宋体" w:eastAsia="宋体" w:cs="宋体"/>
          <w:sz w:val="24"/>
        </w:rPr>
        <w:t>9．特别提示：（1）身份证如果丢失，需由户口所在地派出所出具证明，并于证明上贴本人照片并骑缝加盖公章。（2）复试结束后，凡未进行资格审查或资格审查未通过的考生一律不予录取。</w:t>
      </w:r>
    </w:p>
    <w:p>
      <w:pPr>
        <w:pStyle w:val="5"/>
        <w:widowControl/>
        <w:spacing w:beforeAutospacing="0" w:afterAutospacing="0"/>
        <w:ind w:firstLine="480" w:firstLineChars="200"/>
        <w:jc w:val="both"/>
        <w:rPr>
          <w:rFonts w:ascii="宋体" w:hAnsi="宋体" w:eastAsia="宋体" w:cs="宋体"/>
        </w:rPr>
      </w:pPr>
      <w:r>
        <w:rPr>
          <w:rFonts w:hint="eastAsia" w:ascii="宋体" w:hAnsi="宋体" w:eastAsia="宋体" w:cs="宋体"/>
        </w:rPr>
        <w:t>（五）复试内容及计分办法</w:t>
      </w:r>
    </w:p>
    <w:p>
      <w:pPr>
        <w:ind w:firstLine="480" w:firstLineChars="200"/>
        <w:rPr>
          <w:rFonts w:ascii="宋体" w:hAnsi="宋体" w:eastAsia="宋体" w:cs="宋体"/>
          <w:sz w:val="24"/>
        </w:rPr>
      </w:pPr>
      <w:r>
        <w:rPr>
          <w:rFonts w:hint="eastAsia" w:ascii="宋体" w:hAnsi="宋体" w:eastAsia="宋体" w:cs="宋体"/>
          <w:sz w:val="24"/>
        </w:rPr>
        <w:t>1. 复试内容</w:t>
      </w:r>
    </w:p>
    <w:p>
      <w:pPr>
        <w:pStyle w:val="5"/>
        <w:shd w:val="clear" w:color="auto" w:fill="FFFFFF"/>
        <w:spacing w:beforeAutospacing="0" w:afterAutospacing="0"/>
        <w:ind w:firstLine="480"/>
        <w:rPr>
          <w:rFonts w:ascii="宋体" w:hAnsi="宋体" w:eastAsia="宋体" w:cs="宋体"/>
        </w:rPr>
      </w:pPr>
      <w:r>
        <w:rPr>
          <w:rFonts w:hint="eastAsia" w:ascii="宋体" w:hAnsi="宋体" w:eastAsia="宋体" w:cs="宋体"/>
        </w:rPr>
        <w:t>学院严格按照国家教育部有关文件确定复试内容和组织复试工作，坚持“谁主管、谁负责”的原则，严格实行招生考试责任追究制度，对责任不落实和工作不到位的，要追究相关人员的责任，学院要明确本单位对于复试录取工作的责任追究办法。</w:t>
      </w:r>
    </w:p>
    <w:p>
      <w:pPr>
        <w:pStyle w:val="5"/>
        <w:shd w:val="clear" w:color="auto" w:fill="FFFFFF"/>
        <w:spacing w:beforeAutospacing="0" w:afterAutospacing="0"/>
        <w:ind w:firstLine="480"/>
        <w:rPr>
          <w:rFonts w:ascii="宋体" w:hAnsi="宋体" w:eastAsia="宋体" w:cs="宋体"/>
        </w:rPr>
      </w:pPr>
      <w:r>
        <w:rPr>
          <w:rFonts w:hint="eastAsia" w:ascii="宋体" w:hAnsi="宋体" w:eastAsia="宋体" w:cs="宋体"/>
        </w:rPr>
        <w:t>复试内容包括专业能力考核、综合面试两部分。专业能力考核包括外语听说能力测试和专业课测试。</w:t>
      </w:r>
    </w:p>
    <w:tbl>
      <w:tblPr>
        <w:tblStyle w:val="6"/>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1853"/>
        <w:gridCol w:w="1256"/>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056" w:type="dxa"/>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复试考生</w:t>
            </w:r>
          </w:p>
        </w:tc>
        <w:tc>
          <w:tcPr>
            <w:tcW w:w="3109" w:type="dxa"/>
            <w:gridSpan w:val="2"/>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复试科目</w:t>
            </w:r>
          </w:p>
        </w:tc>
        <w:tc>
          <w:tcPr>
            <w:tcW w:w="2529" w:type="dxa"/>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056"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（全日制）美术学考生</w:t>
            </w:r>
          </w:p>
        </w:tc>
        <w:tc>
          <w:tcPr>
            <w:tcW w:w="1853"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专业创作</w:t>
            </w:r>
          </w:p>
        </w:tc>
        <w:tc>
          <w:tcPr>
            <w:tcW w:w="1256" w:type="dxa"/>
            <w:vMerge w:val="restart"/>
            <w:vAlign w:val="center"/>
          </w:tcPr>
          <w:p>
            <w:pPr>
              <w:widowControl/>
              <w:shd w:val="clear" w:color="auto" w:fill="FFFFFF"/>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自备绘画（设计）工具、画纸8开素描纸</w:t>
            </w:r>
          </w:p>
        </w:tc>
        <w:tc>
          <w:tcPr>
            <w:tcW w:w="2529" w:type="dxa"/>
            <w:vMerge w:val="restart"/>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5月18日</w:t>
            </w:r>
          </w:p>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056"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（全日制）设计学考生</w:t>
            </w:r>
          </w:p>
        </w:tc>
        <w:tc>
          <w:tcPr>
            <w:tcW w:w="1853"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专业设计</w:t>
            </w:r>
          </w:p>
        </w:tc>
        <w:tc>
          <w:tcPr>
            <w:tcW w:w="1256" w:type="dxa"/>
            <w:vMerge w:val="continue"/>
            <w:vAlign w:val="center"/>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c>
          <w:tcPr>
            <w:tcW w:w="2529" w:type="dxa"/>
            <w:vMerge w:val="continue"/>
            <w:vAlign w:val="center"/>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056"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（全日制）美术考生</w:t>
            </w:r>
          </w:p>
        </w:tc>
        <w:tc>
          <w:tcPr>
            <w:tcW w:w="1853"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专业创作</w:t>
            </w:r>
          </w:p>
        </w:tc>
        <w:tc>
          <w:tcPr>
            <w:tcW w:w="1256" w:type="dxa"/>
            <w:vMerge w:val="continue"/>
            <w:vAlign w:val="center"/>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c>
          <w:tcPr>
            <w:tcW w:w="2529" w:type="dxa"/>
            <w:vMerge w:val="continue"/>
            <w:vAlign w:val="center"/>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6"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（全日制）艺术设计考生</w:t>
            </w:r>
          </w:p>
        </w:tc>
        <w:tc>
          <w:tcPr>
            <w:tcW w:w="1853"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专业设计</w:t>
            </w:r>
          </w:p>
        </w:tc>
        <w:tc>
          <w:tcPr>
            <w:tcW w:w="1256" w:type="dxa"/>
            <w:vMerge w:val="continue"/>
            <w:vAlign w:val="center"/>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c>
          <w:tcPr>
            <w:tcW w:w="2529" w:type="dxa"/>
            <w:vMerge w:val="continue"/>
            <w:vAlign w:val="center"/>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（非全日制）美术考生</w:t>
            </w:r>
          </w:p>
        </w:tc>
        <w:tc>
          <w:tcPr>
            <w:tcW w:w="1853"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专业创作</w:t>
            </w:r>
          </w:p>
        </w:tc>
        <w:tc>
          <w:tcPr>
            <w:tcW w:w="1256" w:type="dxa"/>
            <w:vMerge w:val="continue"/>
            <w:vAlign w:val="center"/>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c>
          <w:tcPr>
            <w:tcW w:w="2529" w:type="dxa"/>
            <w:vMerge w:val="continue"/>
            <w:vAlign w:val="center"/>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056"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（非全日制）艺术设计考生</w:t>
            </w:r>
          </w:p>
        </w:tc>
        <w:tc>
          <w:tcPr>
            <w:tcW w:w="1853" w:type="dxa"/>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专业设计</w:t>
            </w:r>
          </w:p>
        </w:tc>
        <w:tc>
          <w:tcPr>
            <w:tcW w:w="1256" w:type="dxa"/>
            <w:vMerge w:val="continue"/>
            <w:vAlign w:val="center"/>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c>
          <w:tcPr>
            <w:tcW w:w="2529" w:type="dxa"/>
            <w:vMerge w:val="continue"/>
            <w:vAlign w:val="center"/>
          </w:tcPr>
          <w:p>
            <w:pPr>
              <w:widowControl/>
              <w:shd w:val="clear" w:color="auto" w:fill="FFFFFF"/>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056" w:type="dxa"/>
            <w:vMerge w:val="restart"/>
            <w:vAlign w:val="center"/>
          </w:tcPr>
          <w:p>
            <w:pPr>
              <w:jc w:val="center"/>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同等学力考生</w:t>
            </w:r>
          </w:p>
        </w:tc>
        <w:tc>
          <w:tcPr>
            <w:tcW w:w="1853" w:type="dxa"/>
            <w:vAlign w:val="center"/>
          </w:tcPr>
          <w:p>
            <w:pPr>
              <w:jc w:val="center"/>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速写</w:t>
            </w:r>
          </w:p>
        </w:tc>
        <w:tc>
          <w:tcPr>
            <w:tcW w:w="1256" w:type="dxa"/>
            <w:vMerge w:val="continue"/>
            <w:vAlign w:val="center"/>
          </w:tcPr>
          <w:p>
            <w:pPr>
              <w:widowControl/>
              <w:shd w:val="clear" w:color="auto" w:fill="FFFFFF"/>
              <w:spacing w:line="300" w:lineRule="exact"/>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c>
          <w:tcPr>
            <w:tcW w:w="2529" w:type="dxa"/>
            <w:vMerge w:val="restart"/>
            <w:vAlign w:val="center"/>
          </w:tcPr>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5月18日</w:t>
            </w:r>
          </w:p>
          <w:p>
            <w:pPr>
              <w:widowControl/>
              <w:shd w:val="clear" w:color="auto" w:fill="FFFFFF"/>
              <w:spacing w:line="300" w:lineRule="exact"/>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11:00—12:50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056" w:type="dxa"/>
            <w:vMerge w:val="continue"/>
            <w:vAlign w:val="center"/>
          </w:tcPr>
          <w:p>
            <w:pPr>
              <w:jc w:val="center"/>
              <w:rPr>
                <w:rFonts w:asciiTheme="minorEastAsia" w:hAnsiTheme="minorEastAsia" w:cstheme="minorEastAsia"/>
                <w:color w:val="000000" w:themeColor="text1"/>
                <w:kern w:val="0"/>
                <w:sz w:val="24"/>
                <w:shd w:val="clear" w:color="auto" w:fill="FFFFFF"/>
                <w14:textFill>
                  <w14:solidFill>
                    <w14:schemeClr w14:val="tx1"/>
                  </w14:solidFill>
                </w14:textFill>
              </w:rPr>
            </w:pPr>
          </w:p>
        </w:tc>
        <w:tc>
          <w:tcPr>
            <w:tcW w:w="1853" w:type="dxa"/>
            <w:vAlign w:val="center"/>
          </w:tcPr>
          <w:p>
            <w:pPr>
              <w:jc w:val="center"/>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色彩</w:t>
            </w:r>
          </w:p>
        </w:tc>
        <w:tc>
          <w:tcPr>
            <w:tcW w:w="1256" w:type="dxa"/>
            <w:vMerge w:val="continue"/>
            <w:vAlign w:val="center"/>
          </w:tcPr>
          <w:p>
            <w:pPr>
              <w:widowControl/>
              <w:shd w:val="clear" w:color="auto" w:fill="FFFFFF"/>
              <w:spacing w:line="300" w:lineRule="exact"/>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c>
          <w:tcPr>
            <w:tcW w:w="2529" w:type="dxa"/>
            <w:vMerge w:val="continue"/>
            <w:vAlign w:val="center"/>
          </w:tcPr>
          <w:p>
            <w:pPr>
              <w:widowControl/>
              <w:shd w:val="clear" w:color="auto" w:fill="FFFFFF"/>
              <w:spacing w:line="300" w:lineRule="exact"/>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3056" w:type="dxa"/>
            <w:vAlign w:val="center"/>
          </w:tcPr>
          <w:p>
            <w:pPr>
              <w:widowControl/>
              <w:shd w:val="clear" w:color="auto" w:fill="FFFFFF"/>
              <w:spacing w:line="300" w:lineRule="exact"/>
              <w:ind w:firstLine="600"/>
              <w:jc w:val="left"/>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所有考生</w:t>
            </w:r>
          </w:p>
        </w:tc>
        <w:tc>
          <w:tcPr>
            <w:tcW w:w="3109" w:type="dxa"/>
            <w:gridSpan w:val="2"/>
            <w:vAlign w:val="center"/>
          </w:tcPr>
          <w:p>
            <w:pPr>
              <w:widowControl/>
              <w:shd w:val="clear" w:color="auto" w:fill="FFFFFF"/>
              <w:spacing w:line="300" w:lineRule="exact"/>
              <w:ind w:firstLine="600"/>
              <w:jc w:val="left"/>
              <w:rPr>
                <w:rFonts w:asciiTheme="minorEastAsia" w:hAnsiTheme="minorEastAsia" w:cstheme="minorEastAsia"/>
                <w:kern w:val="0"/>
                <w:sz w:val="24"/>
                <w:shd w:val="clear" w:color="auto" w:fill="FFFFFF"/>
              </w:rPr>
            </w:pPr>
            <w:r>
              <w:rPr>
                <w:rFonts w:hint="eastAsia" w:asciiTheme="minorEastAsia" w:hAnsiTheme="minorEastAsia" w:cstheme="minorEastAsia"/>
                <w:kern w:val="0"/>
                <w:sz w:val="24"/>
                <w:shd w:val="clear" w:color="auto" w:fill="FFFFFF"/>
              </w:rPr>
              <w:t>综合面试、外语面试</w:t>
            </w:r>
          </w:p>
        </w:tc>
        <w:tc>
          <w:tcPr>
            <w:tcW w:w="2529" w:type="dxa"/>
            <w:vAlign w:val="center"/>
          </w:tcPr>
          <w:p>
            <w:pPr>
              <w:widowControl/>
              <w:shd w:val="clear" w:color="auto" w:fill="FFFFFF"/>
              <w:spacing w:line="300" w:lineRule="exact"/>
              <w:jc w:val="left"/>
              <w:rPr>
                <w:rFonts w:asciiTheme="minorEastAsia" w:hAnsiTheme="minorEastAsia" w:cstheme="minorEastAsia"/>
                <w:kern w:val="0"/>
                <w:sz w:val="24"/>
                <w:shd w:val="clear" w:color="auto" w:fill="FFFFFF"/>
              </w:rPr>
            </w:pPr>
            <w:r>
              <w:rPr>
                <w:rFonts w:hint="eastAsia" w:asciiTheme="minorEastAsia" w:hAnsiTheme="minorEastAsia" w:cstheme="minorEastAsia"/>
                <w:kern w:val="0"/>
                <w:sz w:val="24"/>
                <w:shd w:val="clear" w:color="auto" w:fill="FFFFFF"/>
              </w:rPr>
              <w:t>5月18日13:00开始</w:t>
            </w:r>
          </w:p>
        </w:tc>
      </w:tr>
    </w:tbl>
    <w:p>
      <w:pPr>
        <w:ind w:firstLine="480" w:firstLineChars="200"/>
        <w:rPr>
          <w:rFonts w:ascii="宋体" w:hAnsi="宋体" w:eastAsia="宋体" w:cs="宋体"/>
          <w:sz w:val="24"/>
        </w:rPr>
      </w:pPr>
    </w:p>
    <w:p>
      <w:pPr>
        <w:ind w:firstLine="480" w:firstLineChars="200"/>
        <w:rPr>
          <w:rFonts w:ascii="宋体" w:hAnsi="宋体" w:eastAsia="宋体" w:cs="宋体"/>
          <w:sz w:val="24"/>
        </w:rPr>
      </w:pPr>
      <w:r>
        <w:rPr>
          <w:rFonts w:hint="eastAsia" w:ascii="宋体" w:hAnsi="宋体" w:eastAsia="宋体" w:cs="宋体"/>
          <w:sz w:val="24"/>
        </w:rPr>
        <w:t>（1）外语听说测试：以面试形式进行，将外语听说测试专家并入综合面试专家组，由专门的复试小组成员现场打分。</w:t>
      </w:r>
    </w:p>
    <w:p>
      <w:pPr>
        <w:ind w:firstLine="480" w:firstLineChars="200"/>
        <w:rPr>
          <w:rFonts w:ascii="宋体" w:hAnsi="宋体" w:eastAsia="宋体" w:cs="宋体"/>
          <w:sz w:val="24"/>
        </w:rPr>
      </w:pPr>
      <w:r>
        <w:rPr>
          <w:rFonts w:hint="eastAsia" w:ascii="宋体" w:hAnsi="宋体" w:eastAsia="宋体" w:cs="宋体"/>
          <w:sz w:val="24"/>
        </w:rPr>
        <w:t>（2）专业课测试：</w:t>
      </w: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专业创作</w:t>
      </w:r>
      <w:r>
        <w:rPr>
          <w:rFonts w:hint="eastAsia" w:ascii="宋体" w:hAnsi="宋体" w:eastAsia="宋体" w:cs="宋体"/>
          <w:sz w:val="24"/>
        </w:rPr>
        <w:t>3小时，专门的复试小组成员现场打分。</w:t>
      </w:r>
    </w:p>
    <w:p>
      <w:pPr>
        <w:ind w:firstLine="480" w:firstLineChars="200"/>
        <w:rPr>
          <w:rFonts w:ascii="宋体" w:hAnsi="宋体" w:eastAsia="宋体" w:cs="宋体"/>
          <w:sz w:val="24"/>
        </w:rPr>
      </w:pPr>
      <w:r>
        <w:rPr>
          <w:rFonts w:hint="eastAsia" w:ascii="宋体" w:hAnsi="宋体" w:eastAsia="宋体" w:cs="宋体"/>
          <w:sz w:val="24"/>
        </w:rPr>
        <w:t>（4）综合面试：考核内容应涉及考生思想政治素质和道德品质考核，考生的创新精神和创新能力考核，考生理论知识和应用技能掌握程度、利用所学理论发现、分析和解决问题的能力考核，考生对报考专业发展动态了解以及在本专业发展潜力考核；考生的科研和社会工作能力、实践经历考核，考生的事业心、责任感、协作性和心理素质以及举止礼仪和表达能力考核等。专业复试小组将根据学科自身特色制定更加详细的面试方案。</w:t>
      </w:r>
    </w:p>
    <w:p>
      <w:pPr>
        <w:ind w:firstLine="480" w:firstLineChars="200"/>
        <w:rPr>
          <w:rFonts w:ascii="宋体" w:hAnsi="宋体" w:eastAsia="宋体" w:cs="宋体"/>
          <w:sz w:val="24"/>
        </w:rPr>
      </w:pPr>
      <w:r>
        <w:rPr>
          <w:rFonts w:hint="eastAsia" w:ascii="宋体" w:hAnsi="宋体" w:eastAsia="宋体" w:cs="宋体"/>
          <w:sz w:val="24"/>
        </w:rPr>
        <w:t>综合面试全程由各专业复试小组负责考核，面试成绩由每位复试小组成员独立给出分数，然后取算术平均值得出。</w:t>
      </w:r>
    </w:p>
    <w:p>
      <w:pPr>
        <w:ind w:firstLine="480" w:firstLineChars="200"/>
        <w:rPr>
          <w:rFonts w:ascii="宋体" w:hAnsi="宋体" w:eastAsia="宋体" w:cs="宋体"/>
          <w:sz w:val="24"/>
        </w:rPr>
      </w:pPr>
      <w:r>
        <w:rPr>
          <w:rFonts w:hint="eastAsia" w:ascii="宋体" w:hAnsi="宋体" w:eastAsia="宋体" w:cs="宋体"/>
          <w:sz w:val="24"/>
        </w:rPr>
        <w:t>每个考生总计面试时长一般为</w:t>
      </w:r>
      <w:r>
        <w:rPr>
          <w:rFonts w:hint="eastAsia" w:ascii="宋体" w:hAnsi="宋体" w:eastAsia="宋体" w:cs="宋体"/>
          <w:sz w:val="24"/>
          <w:lang w:val="en-US" w:eastAsia="zh-CN"/>
        </w:rPr>
        <w:t>30</w:t>
      </w:r>
      <w:r>
        <w:rPr>
          <w:rFonts w:hint="eastAsia" w:ascii="宋体" w:hAnsi="宋体" w:eastAsia="宋体" w:cs="宋体"/>
          <w:sz w:val="24"/>
        </w:rPr>
        <w:t>分钟左右，具体时间可由面试专家组根据面试情况适当调整。</w:t>
      </w:r>
    </w:p>
    <w:p>
      <w:pPr>
        <w:ind w:firstLine="480" w:firstLineChars="200"/>
        <w:rPr>
          <w:rFonts w:ascii="宋体" w:hAnsi="宋体" w:eastAsia="宋体" w:cs="宋体"/>
          <w:sz w:val="24"/>
        </w:rPr>
      </w:pPr>
      <w:r>
        <w:rPr>
          <w:rFonts w:hint="eastAsia" w:ascii="宋体" w:hAnsi="宋体" w:eastAsia="宋体" w:cs="宋体"/>
          <w:sz w:val="24"/>
        </w:rPr>
        <w:t>2. 计分办法及具体要求</w:t>
      </w:r>
    </w:p>
    <w:p>
      <w:pPr>
        <w:ind w:firstLine="480" w:firstLineChars="200"/>
        <w:rPr>
          <w:rFonts w:hint="eastAsia" w:ascii="宋体" w:hAnsi="宋体" w:eastAsia="宋体" w:cs="宋体"/>
          <w:sz w:val="24"/>
        </w:rPr>
      </w:pPr>
      <w:r>
        <w:rPr>
          <w:rFonts w:hint="eastAsia" w:ascii="宋体" w:hAnsi="宋体" w:eastAsia="宋体" w:cs="宋体"/>
          <w:sz w:val="24"/>
        </w:rPr>
        <w:t>（1）复试成绩总分200分，其中专业能力考核</w:t>
      </w:r>
      <w:r>
        <w:rPr>
          <w:rFonts w:hint="eastAsia" w:ascii="宋体" w:hAnsi="宋体" w:eastAsia="宋体" w:cs="宋体"/>
          <w:sz w:val="24"/>
          <w:lang w:val="en-US" w:eastAsia="zh-CN"/>
        </w:rPr>
        <w:t>100</w:t>
      </w:r>
      <w:r>
        <w:rPr>
          <w:rFonts w:hint="eastAsia" w:ascii="宋体" w:hAnsi="宋体" w:eastAsia="宋体" w:cs="宋体"/>
          <w:sz w:val="24"/>
        </w:rPr>
        <w:t>分，综合素质考核</w:t>
      </w:r>
      <w:r>
        <w:rPr>
          <w:rFonts w:hint="eastAsia" w:ascii="宋体" w:hAnsi="宋体" w:eastAsia="宋体" w:cs="宋体"/>
          <w:sz w:val="24"/>
          <w:lang w:val="en-US" w:eastAsia="zh-CN"/>
        </w:rPr>
        <w:t>100</w:t>
      </w:r>
      <w:r>
        <w:rPr>
          <w:rFonts w:hint="eastAsia" w:ascii="宋体" w:hAnsi="宋体" w:eastAsia="宋体" w:cs="宋体"/>
          <w:sz w:val="24"/>
        </w:rPr>
        <w:t>分。专业能力考核成绩包括外语听说能力测试</w:t>
      </w:r>
      <w:r>
        <w:rPr>
          <w:rFonts w:hint="eastAsia" w:ascii="宋体" w:hAnsi="宋体" w:eastAsia="宋体" w:cs="宋体"/>
          <w:sz w:val="24"/>
          <w:lang w:val="en-US" w:eastAsia="zh-CN"/>
        </w:rPr>
        <w:t>25</w:t>
      </w:r>
      <w:r>
        <w:rPr>
          <w:rFonts w:hint="eastAsia" w:ascii="宋体" w:hAnsi="宋体" w:eastAsia="宋体" w:cs="宋体"/>
          <w:sz w:val="24"/>
        </w:rPr>
        <w:t>分、专业课测试</w:t>
      </w:r>
      <w:r>
        <w:rPr>
          <w:rFonts w:hint="eastAsia" w:ascii="宋体" w:hAnsi="宋体" w:eastAsia="宋体" w:cs="宋体"/>
          <w:sz w:val="24"/>
          <w:lang w:val="en-US" w:eastAsia="zh-CN"/>
        </w:rPr>
        <w:t>75</w:t>
      </w:r>
      <w:r>
        <w:rPr>
          <w:rFonts w:hint="eastAsia" w:ascii="宋体" w:hAnsi="宋体" w:eastAsia="宋体" w:cs="宋体"/>
          <w:sz w:val="24"/>
        </w:rPr>
        <w:t>分；综合素质考核成绩包括综合面试</w:t>
      </w:r>
      <w:r>
        <w:rPr>
          <w:rFonts w:hint="eastAsia" w:ascii="宋体" w:hAnsi="宋体" w:eastAsia="宋体" w:cs="宋体"/>
          <w:sz w:val="24"/>
          <w:lang w:eastAsia="zh-CN"/>
        </w:rPr>
        <w:t>共计</w:t>
      </w:r>
      <w:r>
        <w:rPr>
          <w:rFonts w:hint="eastAsia" w:ascii="宋体" w:hAnsi="宋体" w:eastAsia="宋体" w:cs="宋体"/>
          <w:sz w:val="24"/>
          <w:lang w:val="en-US" w:eastAsia="zh-CN"/>
        </w:rPr>
        <w:t>100</w:t>
      </w:r>
      <w:r>
        <w:rPr>
          <w:rFonts w:hint="eastAsia" w:ascii="宋体" w:hAnsi="宋体" w:eastAsia="宋体" w:cs="宋体"/>
          <w:sz w:val="24"/>
        </w:rPr>
        <w:t>分。</w:t>
      </w:r>
    </w:p>
    <w:p>
      <w:pPr>
        <w:ind w:firstLine="480" w:firstLineChars="200"/>
        <w:rPr>
          <w:rFonts w:hint="eastAsia" w:ascii="宋体" w:hAnsi="宋体" w:eastAsia="宋体" w:cs="宋体"/>
          <w:sz w:val="24"/>
        </w:rPr>
      </w:pPr>
      <w:r>
        <w:rPr>
          <w:rFonts w:hint="eastAsia" w:ascii="宋体" w:hAnsi="宋体" w:eastAsia="宋体" w:cs="宋体"/>
          <w:sz w:val="24"/>
        </w:rPr>
        <w:t>（2）考生复试成绩包括专业能力考核、综合素质考核两部分成绩之和，其复试成绩低于110分视为复试成绩不合格。</w:t>
      </w:r>
    </w:p>
    <w:p>
      <w:pPr>
        <w:ind w:firstLine="480" w:firstLineChars="200"/>
        <w:rPr>
          <w:rFonts w:hint="eastAsia" w:ascii="宋体" w:hAnsi="宋体" w:eastAsia="宋体" w:cs="宋体"/>
          <w:sz w:val="24"/>
        </w:rPr>
      </w:pPr>
      <w:r>
        <w:rPr>
          <w:rFonts w:hint="eastAsia" w:ascii="宋体" w:hAnsi="宋体" w:eastAsia="宋体" w:cs="宋体"/>
          <w:sz w:val="24"/>
        </w:rPr>
        <w:t>（3）专业课测试范围依据《招生简章》中公布的复试科目内容进行。</w:t>
      </w:r>
    </w:p>
    <w:p>
      <w:pPr>
        <w:pStyle w:val="5"/>
        <w:widowControl/>
        <w:snapToGrid w:val="0"/>
        <w:spacing w:beforeAutospacing="0" w:afterAutospacing="0"/>
        <w:ind w:firstLine="482" w:firstLineChars="200"/>
        <w:jc w:val="both"/>
        <w:rPr>
          <w:rFonts w:ascii="宋体" w:hAnsi="宋体" w:eastAsia="宋体" w:cs="宋体"/>
          <w:b/>
          <w:bCs/>
        </w:rPr>
      </w:pPr>
      <w:r>
        <w:rPr>
          <w:rFonts w:hint="eastAsia" w:ascii="宋体" w:hAnsi="宋体" w:eastAsia="宋体" w:cs="宋体"/>
          <w:b/>
          <w:bCs/>
        </w:rPr>
        <w:t>六、调剂</w:t>
      </w:r>
    </w:p>
    <w:p>
      <w:pPr>
        <w:ind w:firstLine="480" w:firstLineChars="200"/>
        <w:rPr>
          <w:rFonts w:ascii="宋体" w:hAnsi="宋体" w:eastAsia="宋体" w:cs="宋体"/>
          <w:sz w:val="24"/>
        </w:rPr>
      </w:pPr>
      <w:r>
        <w:rPr>
          <w:rFonts w:hint="eastAsia" w:ascii="宋体" w:hAnsi="宋体" w:eastAsia="宋体" w:cs="宋体"/>
          <w:sz w:val="24"/>
        </w:rPr>
        <w:t>（一）调剂基本要求</w:t>
      </w:r>
    </w:p>
    <w:p>
      <w:pPr>
        <w:ind w:firstLine="480" w:firstLineChars="200"/>
        <w:rPr>
          <w:rFonts w:ascii="宋体" w:hAnsi="宋体" w:eastAsia="宋体" w:cs="宋体"/>
          <w:sz w:val="24"/>
        </w:rPr>
      </w:pPr>
      <w:r>
        <w:rPr>
          <w:rFonts w:hint="eastAsia" w:ascii="宋体" w:hAnsi="宋体" w:eastAsia="宋体" w:cs="宋体"/>
          <w:sz w:val="24"/>
        </w:rPr>
        <w:t>调剂工作按教育部《2020年全国硕士研究生招生工作管理规定》中关于调剂的要求执行。一志愿生源充足的专业原则上不再接收调剂。调剂考生基本要求是：</w:t>
      </w:r>
    </w:p>
    <w:p>
      <w:pPr>
        <w:ind w:firstLine="480" w:firstLineChars="200"/>
        <w:rPr>
          <w:rFonts w:ascii="宋体" w:hAnsi="宋体" w:eastAsia="宋体" w:cs="宋体"/>
          <w:sz w:val="24"/>
        </w:rPr>
      </w:pPr>
      <w:r>
        <w:rPr>
          <w:rFonts w:hint="eastAsia" w:ascii="宋体" w:hAnsi="宋体" w:eastAsia="宋体" w:cs="宋体"/>
          <w:sz w:val="24"/>
        </w:rPr>
        <w:t>1. 符合调入专业的报考条件；</w:t>
      </w:r>
    </w:p>
    <w:p>
      <w:pPr>
        <w:ind w:firstLine="480" w:firstLineChars="200"/>
        <w:rPr>
          <w:rFonts w:ascii="宋体" w:hAnsi="宋体" w:eastAsia="宋体" w:cs="宋体"/>
          <w:sz w:val="24"/>
        </w:rPr>
      </w:pPr>
      <w:r>
        <w:rPr>
          <w:rFonts w:hint="eastAsia" w:ascii="宋体" w:hAnsi="宋体" w:eastAsia="宋体" w:cs="宋体"/>
          <w:sz w:val="24"/>
        </w:rPr>
        <w:t>2. 初试成绩符合第一志愿报考专业在一区的全国初试成绩基本要求；</w:t>
      </w:r>
    </w:p>
    <w:p>
      <w:pPr>
        <w:ind w:firstLine="480" w:firstLineChars="200"/>
        <w:rPr>
          <w:rFonts w:ascii="宋体" w:hAnsi="宋体" w:eastAsia="宋体" w:cs="宋体"/>
          <w:sz w:val="24"/>
        </w:rPr>
      </w:pPr>
      <w:r>
        <w:rPr>
          <w:rFonts w:hint="eastAsia" w:ascii="宋体" w:hAnsi="宋体" w:eastAsia="宋体" w:cs="宋体"/>
          <w:sz w:val="24"/>
        </w:rPr>
        <w:t>3. 调入专业与第一志愿报考专业相同或相近；</w:t>
      </w:r>
    </w:p>
    <w:p>
      <w:pPr>
        <w:ind w:firstLine="480" w:firstLineChars="200"/>
        <w:rPr>
          <w:rFonts w:ascii="宋体" w:hAnsi="宋体" w:eastAsia="宋体" w:cs="宋体"/>
          <w:sz w:val="24"/>
        </w:rPr>
      </w:pPr>
      <w:r>
        <w:rPr>
          <w:rFonts w:hint="eastAsia" w:ascii="宋体" w:hAnsi="宋体" w:eastAsia="宋体" w:cs="宋体"/>
          <w:sz w:val="24"/>
        </w:rPr>
        <w:t>4. 初试科目与调入专业初试科目相同或相近，其中统考科目原则上应相同；</w:t>
      </w:r>
    </w:p>
    <w:p>
      <w:pPr>
        <w:ind w:firstLine="480" w:firstLineChars="200"/>
        <w:rPr>
          <w:rFonts w:ascii="宋体" w:hAnsi="宋体" w:eastAsia="宋体" w:cs="宋体"/>
          <w:sz w:val="24"/>
        </w:rPr>
      </w:pPr>
      <w:r>
        <w:rPr>
          <w:rFonts w:hint="eastAsia" w:ascii="宋体" w:hAnsi="宋体" w:eastAsia="宋体" w:cs="宋体"/>
          <w:sz w:val="24"/>
        </w:rPr>
        <w:t>（二）调剂具体要求</w:t>
      </w:r>
    </w:p>
    <w:p>
      <w:pPr>
        <w:ind w:firstLine="482" w:firstLineChars="200"/>
        <w:rPr>
          <w:rFonts w:ascii="宋体" w:hAnsi="宋体" w:eastAsia="宋体" w:cs="宋体"/>
          <w:b/>
          <w:bCs/>
          <w:sz w:val="24"/>
        </w:rPr>
      </w:pPr>
      <w:r>
        <w:rPr>
          <w:rFonts w:hint="eastAsia" w:ascii="宋体" w:hAnsi="宋体" w:eastAsia="宋体" w:cs="宋体"/>
          <w:b/>
          <w:bCs/>
          <w:sz w:val="24"/>
        </w:rPr>
        <w:t>参见附件1</w:t>
      </w:r>
    </w:p>
    <w:p>
      <w:pPr>
        <w:ind w:firstLine="480" w:firstLineChars="200"/>
        <w:rPr>
          <w:rFonts w:ascii="宋体" w:hAnsi="宋体" w:eastAsia="宋体" w:cs="宋体"/>
          <w:sz w:val="24"/>
        </w:rPr>
      </w:pPr>
      <w:r>
        <w:rPr>
          <w:rFonts w:hint="eastAsia" w:ascii="宋体" w:hAnsi="宋体" w:eastAsia="宋体" w:cs="宋体"/>
          <w:sz w:val="24"/>
        </w:rPr>
        <w:t>所有调剂考生（既包括接收外单位调剂考生，也包括接收本单位内部调剂考生）必须通过教育部指定的“全国硕士生招生调剂服务系统”进行（各加分项目考生、享受少数民族政策考生可除外）。</w:t>
      </w:r>
    </w:p>
    <w:p>
      <w:pPr>
        <w:pStyle w:val="5"/>
        <w:widowControl/>
        <w:spacing w:beforeAutospacing="0" w:afterAutospacing="0"/>
        <w:ind w:firstLine="480" w:firstLineChars="200"/>
        <w:jc w:val="both"/>
        <w:rPr>
          <w:rFonts w:ascii="宋体" w:hAnsi="宋体" w:eastAsia="宋体" w:cs="宋体"/>
        </w:rPr>
      </w:pPr>
      <w:r>
        <w:rPr>
          <w:rFonts w:hint="eastAsia" w:ascii="宋体" w:hAnsi="宋体" w:eastAsia="宋体" w:cs="宋体"/>
        </w:rPr>
        <w:t>（二）调剂系统开放时间</w:t>
      </w:r>
    </w:p>
    <w:p>
      <w:pPr>
        <w:ind w:firstLine="480" w:firstLineChars="200"/>
        <w:rPr>
          <w:rFonts w:ascii="宋体" w:hAnsi="宋体" w:eastAsia="宋体" w:cs="宋体"/>
          <w:sz w:val="24"/>
        </w:rPr>
      </w:pPr>
      <w:r>
        <w:rPr>
          <w:rFonts w:hint="eastAsia" w:ascii="宋体" w:hAnsi="宋体" w:eastAsia="宋体" w:cs="宋体"/>
          <w:sz w:val="24"/>
        </w:rPr>
        <w:t>学院每次开放调剂系统持续时间为12小时，如果12小时内满足专业复试人数比例，将不再继续开放调剂系统；如果无法满足专业复试人数比例，将继续开放调剂系统，以12小时为节点，直到招完满为止。</w:t>
      </w:r>
    </w:p>
    <w:p>
      <w:pPr>
        <w:ind w:firstLine="480" w:firstLineChars="200"/>
        <w:rPr>
          <w:rFonts w:ascii="宋体" w:hAnsi="宋体" w:eastAsia="宋体" w:cs="宋体"/>
          <w:sz w:val="24"/>
        </w:rPr>
      </w:pPr>
      <w:r>
        <w:rPr>
          <w:rFonts w:hint="eastAsia" w:ascii="宋体" w:hAnsi="宋体" w:eastAsia="宋体" w:cs="宋体"/>
          <w:sz w:val="24"/>
        </w:rPr>
        <w:t>考生调剂志愿锁定时间最长不超过36小时。锁定时间到达后，锁定解除，考生可继续填报其他志愿。</w:t>
      </w:r>
    </w:p>
    <w:p>
      <w:pPr>
        <w:pStyle w:val="5"/>
        <w:widowControl/>
        <w:spacing w:beforeAutospacing="0" w:afterAutospacing="0"/>
        <w:ind w:firstLine="480" w:firstLineChars="200"/>
        <w:jc w:val="both"/>
        <w:rPr>
          <w:rFonts w:ascii="宋体" w:hAnsi="宋体" w:eastAsia="宋体" w:cs="宋体"/>
        </w:rPr>
      </w:pPr>
      <w:r>
        <w:rPr>
          <w:rFonts w:hint="eastAsia" w:ascii="宋体" w:hAnsi="宋体" w:eastAsia="宋体" w:cs="宋体"/>
        </w:rPr>
        <w:t>（三）调剂程序</w:t>
      </w:r>
    </w:p>
    <w:p>
      <w:pPr>
        <w:ind w:firstLine="480" w:firstLineChars="200"/>
        <w:rPr>
          <w:rFonts w:ascii="宋体" w:hAnsi="宋体" w:eastAsia="宋体" w:cs="宋体"/>
          <w:sz w:val="24"/>
        </w:rPr>
      </w:pPr>
      <w:r>
        <w:rPr>
          <w:rFonts w:hint="eastAsia" w:ascii="宋体" w:hAnsi="宋体" w:eastAsia="宋体" w:cs="宋体"/>
          <w:sz w:val="24"/>
        </w:rPr>
        <w:t>1. 学院发布调剂公告。学院在网站公布调剂专业、调剂名额、调剂条件、调剂程序及联系方式等，并在教育部调剂系统设置调剂专业、名额及条件。</w:t>
      </w:r>
    </w:p>
    <w:p>
      <w:pPr>
        <w:ind w:firstLine="480" w:firstLineChars="200"/>
        <w:rPr>
          <w:rFonts w:ascii="宋体" w:hAnsi="宋体" w:eastAsia="宋体" w:cs="宋体"/>
          <w:sz w:val="24"/>
        </w:rPr>
      </w:pPr>
      <w:r>
        <w:rPr>
          <w:rFonts w:hint="eastAsia" w:ascii="宋体" w:hAnsi="宋体" w:eastAsia="宋体" w:cs="宋体"/>
          <w:sz w:val="24"/>
        </w:rPr>
        <w:t>2. 考生填报调剂信息。符合调剂条件的考生在中国研究生招生信息网调剂系统中按要求填报调剂志愿。</w:t>
      </w:r>
    </w:p>
    <w:p>
      <w:pPr>
        <w:ind w:firstLine="480" w:firstLineChars="200"/>
        <w:rPr>
          <w:rFonts w:ascii="宋体" w:hAnsi="宋体" w:eastAsia="宋体" w:cs="宋体"/>
          <w:sz w:val="24"/>
        </w:rPr>
      </w:pPr>
      <w:r>
        <w:rPr>
          <w:rFonts w:hint="eastAsia" w:ascii="宋体" w:hAnsi="宋体" w:eastAsia="宋体" w:cs="宋体"/>
          <w:sz w:val="24"/>
        </w:rPr>
        <w:t>3. 学院审核调剂。学院按调剂条件挑选考生并确认考生调剂意愿，将同意调剂的合格考生添加到复试备选库。对申请我校同一专业、初试科目完全相同的调剂考生，按考生初试成绩择优遴选进入复试的考生名单。不得简单以考生提交调剂志愿的时间先后顺序等非学业水平标准作为遴选依据。</w:t>
      </w:r>
    </w:p>
    <w:p>
      <w:pPr>
        <w:ind w:firstLine="480" w:firstLineChars="200"/>
        <w:rPr>
          <w:rFonts w:ascii="宋体" w:hAnsi="宋体" w:eastAsia="宋体" w:cs="宋体"/>
          <w:sz w:val="24"/>
        </w:rPr>
      </w:pPr>
      <w:r>
        <w:rPr>
          <w:rFonts w:hint="eastAsia" w:ascii="宋体" w:hAnsi="宋体" w:eastAsia="宋体" w:cs="宋体"/>
          <w:sz w:val="24"/>
        </w:rPr>
        <w:t>4. 学院发出调剂复试通知。</w:t>
      </w:r>
    </w:p>
    <w:p>
      <w:pPr>
        <w:ind w:firstLine="480" w:firstLineChars="200"/>
        <w:rPr>
          <w:rFonts w:ascii="宋体" w:hAnsi="宋体" w:eastAsia="宋体" w:cs="宋体"/>
          <w:sz w:val="24"/>
        </w:rPr>
      </w:pPr>
      <w:r>
        <w:rPr>
          <w:rFonts w:hint="eastAsia" w:ascii="宋体" w:hAnsi="宋体" w:eastAsia="宋体" w:cs="宋体"/>
          <w:sz w:val="24"/>
        </w:rPr>
        <w:t>5. 学校研究生院审核复试通知。</w:t>
      </w:r>
    </w:p>
    <w:p>
      <w:pPr>
        <w:ind w:firstLine="480" w:firstLineChars="200"/>
        <w:rPr>
          <w:rFonts w:ascii="宋体" w:hAnsi="宋体" w:eastAsia="宋体" w:cs="宋体"/>
          <w:sz w:val="24"/>
        </w:rPr>
      </w:pPr>
      <w:r>
        <w:rPr>
          <w:rFonts w:hint="eastAsia" w:ascii="宋体" w:hAnsi="宋体" w:eastAsia="宋体" w:cs="宋体"/>
          <w:sz w:val="24"/>
        </w:rPr>
        <w:t>6. 考生接受复试通知。考生须在规定时间内接受复试通知，否则视为放弃复试资格。</w:t>
      </w:r>
    </w:p>
    <w:p>
      <w:pPr>
        <w:ind w:firstLine="480" w:firstLineChars="200"/>
        <w:rPr>
          <w:rFonts w:ascii="宋体" w:hAnsi="宋体" w:eastAsia="宋体" w:cs="宋体"/>
          <w:sz w:val="24"/>
        </w:rPr>
      </w:pPr>
      <w:r>
        <w:rPr>
          <w:rFonts w:hint="eastAsia" w:ascii="宋体" w:hAnsi="宋体" w:eastAsia="宋体" w:cs="宋体"/>
          <w:sz w:val="24"/>
        </w:rPr>
        <w:t>7. 考生复试。考生按复试通知要求进行网络复试。</w:t>
      </w:r>
    </w:p>
    <w:p>
      <w:pPr>
        <w:ind w:firstLine="480" w:firstLineChars="200"/>
        <w:rPr>
          <w:rFonts w:ascii="宋体" w:hAnsi="宋体" w:eastAsia="宋体" w:cs="宋体"/>
          <w:sz w:val="24"/>
        </w:rPr>
      </w:pPr>
      <w:r>
        <w:rPr>
          <w:rFonts w:hint="eastAsia" w:ascii="宋体" w:hAnsi="宋体" w:eastAsia="宋体" w:cs="宋体"/>
          <w:sz w:val="24"/>
        </w:rPr>
        <w:t>8. 待录取操作。对复试合格拟录取的调剂考生，学校将在调剂系统中发送“待录取通知”，考生必须在规定时间内接受“待录取”，否则取消拟录取资格。</w:t>
      </w:r>
    </w:p>
    <w:p>
      <w:pPr>
        <w:pStyle w:val="5"/>
        <w:widowControl/>
        <w:snapToGrid w:val="0"/>
        <w:spacing w:beforeAutospacing="0" w:afterAutospacing="0"/>
        <w:ind w:firstLine="482" w:firstLineChars="200"/>
        <w:jc w:val="both"/>
        <w:rPr>
          <w:rFonts w:ascii="宋体" w:hAnsi="宋体" w:eastAsia="宋体" w:cs="宋体"/>
          <w:b/>
          <w:bCs/>
        </w:rPr>
      </w:pPr>
      <w:r>
        <w:rPr>
          <w:rFonts w:hint="eastAsia" w:ascii="宋体" w:hAnsi="宋体" w:eastAsia="宋体" w:cs="宋体"/>
          <w:b/>
          <w:bCs/>
        </w:rPr>
        <w:t>七、录取工作</w:t>
      </w:r>
    </w:p>
    <w:p>
      <w:pPr>
        <w:pStyle w:val="5"/>
        <w:widowControl/>
        <w:spacing w:beforeAutospacing="0" w:afterAutospacing="0"/>
        <w:ind w:firstLine="480" w:firstLineChars="200"/>
        <w:jc w:val="both"/>
        <w:rPr>
          <w:rFonts w:ascii="宋体" w:hAnsi="宋体" w:eastAsia="宋体" w:cs="宋体"/>
        </w:rPr>
      </w:pPr>
      <w:r>
        <w:rPr>
          <w:rFonts w:hint="eastAsia" w:ascii="宋体" w:hAnsi="宋体" w:eastAsia="宋体" w:cs="宋体"/>
        </w:rPr>
        <w:t>（一）录取类别</w:t>
      </w:r>
    </w:p>
    <w:p>
      <w:pPr>
        <w:ind w:firstLine="480" w:firstLineChars="200"/>
        <w:rPr>
          <w:rFonts w:ascii="宋体" w:hAnsi="宋体" w:eastAsia="宋体" w:cs="宋体"/>
          <w:sz w:val="24"/>
        </w:rPr>
      </w:pPr>
      <w:r>
        <w:rPr>
          <w:rFonts w:hint="eastAsia" w:ascii="宋体" w:hAnsi="宋体" w:eastAsia="宋体" w:cs="宋体"/>
          <w:sz w:val="24"/>
        </w:rPr>
        <w:t>我院拟录取研究生按学习形式分为全日制和非全日制。</w:t>
      </w:r>
    </w:p>
    <w:p>
      <w:pPr>
        <w:ind w:firstLine="480" w:firstLineChars="200"/>
        <w:rPr>
          <w:rFonts w:ascii="宋体" w:hAnsi="宋体" w:eastAsia="宋体" w:cs="宋体"/>
          <w:sz w:val="24"/>
        </w:rPr>
      </w:pPr>
      <w:r>
        <w:rPr>
          <w:rFonts w:hint="eastAsia" w:ascii="宋体" w:hAnsi="宋体" w:eastAsia="宋体" w:cs="宋体"/>
          <w:sz w:val="24"/>
        </w:rPr>
        <w:t>全日制非定向研究生须调档案、享受研究生奖助学金（全脱产学习，人事关系转入我校，且无固定工资收入）；全日制定向研究生不调档案，不享受研究生奖助学金，签订定向培养协议。</w:t>
      </w:r>
    </w:p>
    <w:p>
      <w:pPr>
        <w:ind w:firstLine="480" w:firstLineChars="200"/>
        <w:rPr>
          <w:rFonts w:ascii="宋体" w:hAnsi="宋体" w:eastAsia="宋体" w:cs="宋体"/>
          <w:sz w:val="24"/>
        </w:rPr>
      </w:pPr>
      <w:r>
        <w:rPr>
          <w:rFonts w:hint="eastAsia" w:ascii="宋体" w:hAnsi="宋体" w:eastAsia="宋体" w:cs="宋体"/>
          <w:sz w:val="24"/>
        </w:rPr>
        <w:t>非全日制研究生不调档案，不享受研究生奖助学金，原则上不安排住宿。</w:t>
      </w:r>
    </w:p>
    <w:p>
      <w:pPr>
        <w:pStyle w:val="5"/>
        <w:widowControl/>
        <w:spacing w:beforeAutospacing="0" w:afterAutospacing="0"/>
        <w:ind w:firstLine="480" w:firstLineChars="200"/>
        <w:jc w:val="both"/>
        <w:rPr>
          <w:rFonts w:ascii="宋体" w:hAnsi="宋体" w:eastAsia="宋体" w:cs="宋体"/>
        </w:rPr>
      </w:pPr>
      <w:r>
        <w:rPr>
          <w:rFonts w:hint="eastAsia" w:ascii="宋体" w:hAnsi="宋体" w:eastAsia="宋体" w:cs="宋体"/>
        </w:rPr>
        <w:t>（二）录取规则</w:t>
      </w:r>
    </w:p>
    <w:p>
      <w:pPr>
        <w:ind w:firstLine="480" w:firstLineChars="200"/>
        <w:rPr>
          <w:rFonts w:hint="eastAsia" w:ascii="宋体" w:hAnsi="宋体" w:eastAsia="宋体" w:cs="宋体"/>
          <w:sz w:val="24"/>
        </w:rPr>
      </w:pPr>
      <w:r>
        <w:rPr>
          <w:rFonts w:hint="eastAsia" w:ascii="宋体" w:hAnsi="宋体" w:eastAsia="宋体" w:cs="宋体"/>
          <w:sz w:val="24"/>
        </w:rPr>
        <w:t>1. 贯彻对考生进行德智体能全面衡量的精神，坚持择优录取，保证质量，宁缺毋滥的原则。学院对参加复试合格的考生先录取报考第一志愿考生，再录取调剂考生。</w:t>
      </w:r>
    </w:p>
    <w:p>
      <w:pPr>
        <w:ind w:firstLine="480" w:firstLineChars="200"/>
        <w:rPr>
          <w:rFonts w:hint="eastAsia" w:ascii="宋体" w:hAnsi="宋体" w:eastAsia="宋体" w:cs="宋体"/>
          <w:sz w:val="24"/>
        </w:rPr>
      </w:pPr>
      <w:r>
        <w:rPr>
          <w:rFonts w:hint="eastAsia" w:ascii="宋体" w:hAnsi="宋体" w:eastAsia="宋体" w:cs="宋体"/>
          <w:sz w:val="24"/>
        </w:rPr>
        <w:t>2. 录取时按照考生总成绩从高到低进行名次排序，若总成绩相同，按照复试成绩从高到低排序，调剂考生可根据复试批次，分批次排名，分批次录取。</w:t>
      </w:r>
    </w:p>
    <w:p>
      <w:pPr>
        <w:ind w:firstLine="480" w:firstLineChars="200"/>
        <w:rPr>
          <w:rFonts w:hint="eastAsia" w:ascii="宋体" w:hAnsi="宋体" w:eastAsia="宋体" w:cs="宋体"/>
          <w:sz w:val="24"/>
        </w:rPr>
      </w:pPr>
      <w:r>
        <w:rPr>
          <w:rFonts w:hint="eastAsia" w:ascii="宋体" w:hAnsi="宋体" w:eastAsia="宋体" w:cs="宋体"/>
          <w:sz w:val="24"/>
        </w:rPr>
        <w:t>考生总成绩计算公式为：</w:t>
      </w:r>
    </w:p>
    <w:p>
      <w:pPr>
        <w:ind w:firstLine="480" w:firstLineChars="200"/>
        <w:rPr>
          <w:rFonts w:hint="eastAsia" w:ascii="宋体" w:hAnsi="宋体" w:eastAsia="宋体" w:cs="宋体"/>
          <w:sz w:val="24"/>
        </w:rPr>
      </w:pPr>
      <w:r>
        <w:rPr>
          <w:rFonts w:hint="eastAsia" w:ascii="宋体" w:hAnsi="宋体" w:eastAsia="宋体" w:cs="宋体"/>
          <w:sz w:val="24"/>
        </w:rPr>
        <w:t>考生总成绩=（初试总成绩÷2.5）×70% + 复试</w:t>
      </w:r>
      <w:r>
        <w:rPr>
          <w:rFonts w:hint="eastAsia" w:ascii="宋体" w:hAnsi="宋体" w:eastAsia="宋体" w:cs="宋体"/>
          <w:sz w:val="24"/>
          <w:lang w:eastAsia="zh-CN"/>
        </w:rPr>
        <w:t>总</w:t>
      </w:r>
      <w:r>
        <w:rPr>
          <w:rFonts w:hint="eastAsia" w:ascii="宋体" w:hAnsi="宋体" w:eastAsia="宋体" w:cs="宋体"/>
          <w:sz w:val="24"/>
        </w:rPr>
        <w:t>成绩×30%。</w:t>
      </w:r>
    </w:p>
    <w:p>
      <w:pPr>
        <w:ind w:firstLine="480" w:firstLineChars="200"/>
        <w:rPr>
          <w:rFonts w:hint="eastAsia" w:ascii="宋体" w:hAnsi="宋体" w:eastAsia="宋体" w:cs="宋体"/>
          <w:sz w:val="24"/>
        </w:rPr>
      </w:pPr>
      <w:r>
        <w:rPr>
          <w:rFonts w:hint="eastAsia" w:ascii="宋体" w:hAnsi="宋体" w:eastAsia="宋体" w:cs="宋体"/>
          <w:sz w:val="24"/>
        </w:rPr>
        <w:t>3. 凡未进行资格审查或资格审查未通过的考生一律不予录取。</w:t>
      </w:r>
    </w:p>
    <w:p>
      <w:pPr>
        <w:ind w:firstLine="480" w:firstLineChars="200"/>
        <w:rPr>
          <w:rFonts w:hint="eastAsia" w:ascii="宋体" w:hAnsi="宋体" w:eastAsia="宋体" w:cs="宋体"/>
          <w:sz w:val="24"/>
        </w:rPr>
      </w:pPr>
      <w:r>
        <w:rPr>
          <w:rFonts w:hint="eastAsia" w:ascii="宋体" w:hAnsi="宋体" w:eastAsia="宋体" w:cs="宋体"/>
          <w:sz w:val="24"/>
        </w:rPr>
        <w:t>4. 没有参加复试或者复试成绩不合格的考生将不予录取。</w:t>
      </w:r>
    </w:p>
    <w:p>
      <w:pPr>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 对于思想品德考核不合格者不予录取。</w:t>
      </w:r>
    </w:p>
    <w:p>
      <w:pPr>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 xml:space="preserve"> 面试结束后，复试组长将在第一时间宣布复试成绩和总成绩排名，并根据招生计划确定拟录取名单。</w:t>
      </w:r>
    </w:p>
    <w:p>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7. 拟录取人员要在研究生院发布录取通知24小时之内确认，预期以自动放弃处理。                                     </w:t>
      </w:r>
    </w:p>
    <w:p>
      <w:pPr>
        <w:ind w:left="0" w:leftChars="0" w:firstLine="5040" w:firstLineChars="2100"/>
        <w:rPr>
          <w:rFonts w:ascii="宋体" w:hAnsi="宋体" w:eastAsia="宋体" w:cs="宋体"/>
          <w:sz w:val="24"/>
        </w:rPr>
      </w:pPr>
      <w:r>
        <w:rPr>
          <w:rFonts w:hint="eastAsia" w:ascii="宋体" w:hAnsi="宋体" w:eastAsia="宋体" w:cs="宋体"/>
          <w:sz w:val="24"/>
        </w:rPr>
        <w:t>江西科技师范大学</w:t>
      </w:r>
    </w:p>
    <w:p>
      <w:pPr>
        <w:ind w:firstLine="5280" w:firstLineChars="2200"/>
        <w:rPr>
          <w:rFonts w:ascii="宋体" w:hAnsi="宋体" w:eastAsia="宋体" w:cs="宋体"/>
          <w:sz w:val="24"/>
        </w:rPr>
      </w:pPr>
      <w:r>
        <w:rPr>
          <w:rFonts w:hint="eastAsia" w:ascii="宋体" w:hAnsi="宋体" w:eastAsia="宋体" w:cs="宋体"/>
          <w:sz w:val="24"/>
        </w:rPr>
        <w:t>美术学院</w:t>
      </w:r>
    </w:p>
    <w:p>
      <w:pPr>
        <w:ind w:firstLine="5028" w:firstLineChars="2095"/>
        <w:rPr>
          <w:rFonts w:ascii="宋体" w:hAnsi="宋体" w:eastAsia="宋体" w:cs="宋体"/>
          <w:sz w:val="24"/>
        </w:rPr>
      </w:pPr>
      <w:r>
        <w:rPr>
          <w:rFonts w:hint="eastAsia" w:ascii="宋体" w:hAnsi="宋体" w:eastAsia="宋体" w:cs="宋体"/>
          <w:sz w:val="24"/>
        </w:rPr>
        <w:t>2020年5月6日</w:t>
      </w: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pStyle w:val="5"/>
        <w:adjustRightInd w:val="0"/>
        <w:snapToGrid w:val="0"/>
        <w:spacing w:beforeAutospacing="0" w:afterAutospacing="0"/>
        <w:ind w:firstLine="480" w:firstLineChars="200"/>
        <w:jc w:val="both"/>
        <w:rPr>
          <w:rFonts w:ascii="宋体" w:hAnsi="宋体" w:eastAsia="宋体" w:cs="宋体"/>
        </w:rPr>
      </w:pPr>
    </w:p>
    <w:p>
      <w:pPr>
        <w:jc w:val="center"/>
        <w:rPr>
          <w:rFonts w:ascii="黑体" w:hAnsi="黑体" w:eastAsia="黑体" w:cs="黑体"/>
          <w:b/>
          <w:bCs/>
          <w:sz w:val="32"/>
          <w:szCs w:val="32"/>
        </w:rPr>
      </w:pPr>
      <w:r>
        <w:rPr>
          <w:rFonts w:hint="eastAsia" w:ascii="黑体" w:hAnsi="黑体" w:eastAsia="黑体" w:cs="黑体"/>
          <w:b/>
          <w:bCs/>
          <w:sz w:val="32"/>
          <w:szCs w:val="32"/>
        </w:rPr>
        <w:t>江西科技师范大学美术学院</w:t>
      </w:r>
    </w:p>
    <w:p>
      <w:pPr>
        <w:jc w:val="center"/>
        <w:rPr>
          <w:rFonts w:ascii="黑体" w:hAnsi="黑体" w:eastAsia="黑体" w:cs="黑体"/>
          <w:b/>
          <w:bCs/>
          <w:sz w:val="32"/>
          <w:szCs w:val="32"/>
        </w:rPr>
      </w:pPr>
      <w:r>
        <w:rPr>
          <w:rFonts w:ascii="Times New Roman" w:hAnsi="Times New Roman" w:eastAsia="黑体" w:cs="Times New Roman"/>
          <w:b/>
          <w:bCs/>
          <w:sz w:val="32"/>
          <w:szCs w:val="32"/>
        </w:rPr>
        <w:t>2020年</w:t>
      </w:r>
      <w:r>
        <w:rPr>
          <w:rFonts w:hint="eastAsia" w:ascii="黑体" w:hAnsi="黑体" w:eastAsia="黑体" w:cs="黑体"/>
          <w:b/>
          <w:bCs/>
          <w:sz w:val="32"/>
          <w:szCs w:val="32"/>
        </w:rPr>
        <w:t>硕士研究生调剂具体要求</w:t>
      </w:r>
    </w:p>
    <w:p>
      <w:pPr>
        <w:pStyle w:val="5"/>
        <w:widowControl/>
        <w:spacing w:beforeAutospacing="0" w:afterAutospacing="0" w:line="360" w:lineRule="auto"/>
        <w:ind w:firstLine="480" w:firstLineChars="200"/>
        <w:rPr>
          <w:rFonts w:hint="eastAsia" w:ascii="Times New Roman" w:hAnsi="Times New Roman" w:eastAsia="宋体"/>
          <w:color w:val="000000" w:themeColor="text1"/>
          <w:shd w:val="clear" w:color="auto" w:fill="FFFFFF"/>
          <w14:textFill>
            <w14:solidFill>
              <w14:schemeClr w14:val="tx1"/>
            </w14:solidFill>
          </w14:textFill>
        </w:rPr>
      </w:pPr>
      <w:r>
        <w:rPr>
          <w:rFonts w:ascii="Times New Roman" w:hAnsi="Times New Roman" w:eastAsia="宋体"/>
          <w:color w:val="000000" w:themeColor="text1"/>
          <w:shd w:val="clear" w:color="auto" w:fill="FFFFFF"/>
          <w14:textFill>
            <w14:solidFill>
              <w14:schemeClr w14:val="tx1"/>
            </w14:solidFill>
          </w14:textFill>
        </w:rPr>
        <w:t>根据</w:t>
      </w:r>
      <w:r>
        <w:rPr>
          <w:rFonts w:ascii="Times New Roman" w:hAnsi="Times New Roman" w:eastAsia="宋体"/>
          <w:bCs/>
          <w:color w:val="000000" w:themeColor="text1"/>
          <w:spacing w:val="-6"/>
          <w14:textFill>
            <w14:solidFill>
              <w14:schemeClr w14:val="tx1"/>
            </w14:solidFill>
          </w14:textFill>
        </w:rPr>
        <w:t>教育部印发的《2020年全国硕士研究生招生工作管理规定》以及我校研究生院相关管理制度，结合</w:t>
      </w:r>
      <w:r>
        <w:rPr>
          <w:rFonts w:hint="eastAsia" w:ascii="Times New Roman" w:hAnsi="Times New Roman" w:eastAsia="宋体"/>
          <w:bCs/>
          <w:color w:val="000000" w:themeColor="text1"/>
          <w:spacing w:val="-6"/>
          <w14:textFill>
            <w14:solidFill>
              <w14:schemeClr w14:val="tx1"/>
            </w14:solidFill>
          </w14:textFill>
        </w:rPr>
        <w:t>美术学院</w:t>
      </w:r>
      <w:r>
        <w:rPr>
          <w:rFonts w:ascii="Times New Roman" w:hAnsi="Times New Roman" w:eastAsia="宋体"/>
          <w:color w:val="000000" w:themeColor="text1"/>
          <w:shd w:val="clear" w:color="auto" w:fill="FFFFFF"/>
          <w14:textFill>
            <w14:solidFill>
              <w14:schemeClr w14:val="tx1"/>
            </w14:solidFill>
          </w14:textFill>
        </w:rPr>
        <w:t>相关专业具体培养要求，特制定</w:t>
      </w:r>
      <w:r>
        <w:rPr>
          <w:rFonts w:hint="eastAsia" w:ascii="Times New Roman" w:hAnsi="Times New Roman" w:eastAsia="宋体"/>
          <w:bCs/>
          <w:color w:val="000000" w:themeColor="text1"/>
          <w:spacing w:val="-6"/>
          <w14:textFill>
            <w14:solidFill>
              <w14:schemeClr w14:val="tx1"/>
            </w14:solidFill>
          </w14:textFill>
        </w:rPr>
        <w:t>美术学院</w:t>
      </w:r>
      <w:r>
        <w:rPr>
          <w:rFonts w:ascii="Times New Roman" w:hAnsi="Times New Roman" w:eastAsia="宋体"/>
          <w:color w:val="000000" w:themeColor="text1"/>
          <w:shd w:val="clear" w:color="auto" w:fill="FFFFFF"/>
          <w14:textFill>
            <w14:solidFill>
              <w14:schemeClr w14:val="tx1"/>
            </w14:solidFill>
          </w14:textFill>
        </w:rPr>
        <w:t>2020年硕士研究生</w:t>
      </w:r>
      <w:r>
        <w:rPr>
          <w:rFonts w:hint="eastAsia" w:ascii="Times New Roman" w:hAnsi="Times New Roman" w:eastAsia="宋体"/>
          <w:color w:val="000000" w:themeColor="text1"/>
          <w:shd w:val="clear" w:color="auto" w:fill="FFFFFF"/>
          <w14:textFill>
            <w14:solidFill>
              <w14:schemeClr w14:val="tx1"/>
            </w14:solidFill>
          </w14:textFill>
        </w:rPr>
        <w:t>调剂</w:t>
      </w:r>
      <w:r>
        <w:rPr>
          <w:rFonts w:ascii="Times New Roman" w:hAnsi="Times New Roman" w:eastAsia="宋体"/>
          <w:color w:val="000000" w:themeColor="text1"/>
          <w:shd w:val="clear" w:color="auto" w:fill="FFFFFF"/>
          <w14:textFill>
            <w14:solidFill>
              <w14:schemeClr w14:val="tx1"/>
            </w14:solidFill>
          </w14:textFill>
        </w:rPr>
        <w:t>的基本要求：</w:t>
      </w:r>
    </w:p>
    <w:p>
      <w:pPr>
        <w:pStyle w:val="5"/>
        <w:widowControl/>
        <w:spacing w:beforeAutospacing="0" w:afterAutospacing="0" w:line="360" w:lineRule="auto"/>
        <w:ind w:firstLine="480" w:firstLineChars="200"/>
        <w:rPr>
          <w:rFonts w:ascii="Times New Roman" w:hAnsi="Times New Roman" w:eastAsia="宋体"/>
          <w:color w:val="000000" w:themeColor="text1"/>
          <w:shd w:val="clear" w:color="auto" w:fill="FFFFFF"/>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5"/>
              <w:widowControl/>
              <w:spacing w:beforeAutospacing="0" w:afterAutospacing="0" w:line="360" w:lineRule="auto"/>
              <w:rPr>
                <w:sz w:val="21"/>
                <w:szCs w:val="21"/>
              </w:rPr>
            </w:pPr>
            <w:r>
              <w:rPr>
                <w:rFonts w:hint="eastAsia"/>
                <w:sz w:val="21"/>
                <w:szCs w:val="21"/>
              </w:rPr>
              <w:t>专业代码</w:t>
            </w:r>
          </w:p>
        </w:tc>
        <w:tc>
          <w:tcPr>
            <w:tcW w:w="2130" w:type="dxa"/>
            <w:vAlign w:val="center"/>
          </w:tcPr>
          <w:p>
            <w:pPr>
              <w:pStyle w:val="5"/>
              <w:widowControl/>
              <w:spacing w:beforeAutospacing="0" w:afterAutospacing="0" w:line="360" w:lineRule="auto"/>
              <w:rPr>
                <w:sz w:val="21"/>
                <w:szCs w:val="21"/>
              </w:rPr>
            </w:pPr>
            <w:r>
              <w:rPr>
                <w:rFonts w:hint="eastAsia"/>
                <w:sz w:val="21"/>
                <w:szCs w:val="21"/>
              </w:rPr>
              <w:t>专业名称</w:t>
            </w:r>
          </w:p>
        </w:tc>
        <w:tc>
          <w:tcPr>
            <w:tcW w:w="2131" w:type="dxa"/>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sz w:val="21"/>
                <w:szCs w:val="21"/>
              </w:rPr>
              <w:t>学习形式</w:t>
            </w:r>
          </w:p>
        </w:tc>
        <w:tc>
          <w:tcPr>
            <w:tcW w:w="2131" w:type="dxa"/>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sz w:val="21"/>
                <w:szCs w:val="21"/>
              </w:rPr>
              <w:t>调剂具体要求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30" w:type="dxa"/>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130400</w:t>
            </w:r>
          </w:p>
        </w:tc>
        <w:tc>
          <w:tcPr>
            <w:tcW w:w="2130" w:type="dxa"/>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美术学</w:t>
            </w:r>
          </w:p>
        </w:tc>
        <w:tc>
          <w:tcPr>
            <w:tcW w:w="2131" w:type="dxa"/>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全日制</w:t>
            </w:r>
          </w:p>
        </w:tc>
        <w:tc>
          <w:tcPr>
            <w:tcW w:w="2131" w:type="dxa"/>
            <w:vMerge w:val="restart"/>
          </w:tcPr>
          <w:p>
            <w:pPr>
              <w:spacing w:line="280" w:lineRule="exact"/>
              <w:rPr>
                <w:rFonts w:ascii="Times New Roman" w:hAnsi="Times New Roman" w:eastAsia="宋体"/>
                <w:color w:val="000000" w:themeColor="text1"/>
                <w:szCs w:val="21"/>
                <w:shd w:val="clear" w:color="auto" w:fill="FFFFFF"/>
                <w14:textFill>
                  <w14:solidFill>
                    <w14:schemeClr w14:val="tx1"/>
                  </w14:solidFill>
                </w14:textFill>
              </w:rPr>
            </w:pPr>
            <w:r>
              <w:rPr>
                <w:rFonts w:hint="eastAsia" w:ascii="Times New Roman" w:hAnsi="Times New Roman" w:eastAsia="宋体"/>
                <w:color w:val="000000" w:themeColor="text1"/>
                <w:szCs w:val="21"/>
                <w:shd w:val="clear" w:color="auto" w:fill="FFFFFF"/>
                <w14:textFill>
                  <w14:solidFill>
                    <w14:schemeClr w14:val="tx1"/>
                  </w14:solidFill>
                </w14:textFill>
              </w:rPr>
              <w:t>1.符合调剂基本要求。</w:t>
            </w:r>
          </w:p>
          <w:p>
            <w:pPr>
              <w:spacing w:line="280" w:lineRule="exact"/>
              <w:rPr>
                <w:rFonts w:ascii="Times New Roman" w:hAnsi="Times New Roman" w:eastAsia="宋体"/>
                <w:color w:val="000000" w:themeColor="text1"/>
                <w:szCs w:val="21"/>
                <w:shd w:val="clear" w:color="auto" w:fill="FFFFFF"/>
                <w14:textFill>
                  <w14:solidFill>
                    <w14:schemeClr w14:val="tx1"/>
                  </w14:solidFill>
                </w14:textFill>
              </w:rPr>
            </w:pPr>
            <w:r>
              <w:rPr>
                <w:rFonts w:hint="eastAsia" w:ascii="Times New Roman" w:hAnsi="Times New Roman" w:eastAsia="宋体"/>
                <w:color w:val="000000" w:themeColor="text1"/>
                <w:szCs w:val="21"/>
                <w:shd w:val="clear" w:color="auto" w:fill="FFFFFF"/>
                <w14:textFill>
                  <w14:solidFill>
                    <w14:schemeClr w14:val="tx1"/>
                  </w14:solidFill>
                </w14:textFill>
              </w:rPr>
              <w:t>2.除美术理论与市场研究方向外，考生本科为艺术类相关专业的优先，并按照考试代码相同原则行高分到低分排序。</w:t>
            </w:r>
          </w:p>
          <w:p>
            <w:pPr>
              <w:spacing w:line="280" w:lineRule="exact"/>
              <w:rPr>
                <w:rFonts w:ascii="Times New Roman" w:hAnsi="Times New Roman" w:eastAsia="宋体"/>
                <w:color w:val="000000" w:themeColor="text1"/>
                <w:szCs w:val="21"/>
                <w:shd w:val="clear" w:color="auto" w:fill="FFFFFF"/>
                <w14:textFill>
                  <w14:solidFill>
                    <w14:schemeClr w14:val="tx1"/>
                  </w14:solidFill>
                </w14:textFill>
              </w:rPr>
            </w:pPr>
            <w:r>
              <w:rPr>
                <w:rFonts w:hint="eastAsia" w:ascii="Times New Roman" w:hAnsi="Times New Roman" w:eastAsia="宋体"/>
                <w:color w:val="000000" w:themeColor="text1"/>
                <w:szCs w:val="21"/>
                <w:shd w:val="clear" w:color="auto" w:fill="FFFFFF"/>
                <w14:textFill>
                  <w14:solidFill>
                    <w14:schemeClr w14:val="tx1"/>
                  </w14:solidFill>
                </w14:textFill>
              </w:rPr>
              <w:t>3.</w:t>
            </w:r>
            <w:r>
              <w:rPr>
                <w:rFonts w:hint="eastAsia" w:ascii="Times New Roman" w:hAnsi="Times New Roman" w:cs="Times New Roman"/>
                <w:szCs w:val="21"/>
              </w:rPr>
              <w:t xml:space="preserve"> 在成绩相同情况下，方向将根据专业</w:t>
            </w:r>
            <w:r>
              <w:rPr>
                <w:rFonts w:hint="eastAsia" w:ascii="Times New Roman" w:hAnsi="Times New Roman" w:eastAsia="宋体"/>
                <w:color w:val="000000" w:themeColor="text1"/>
                <w:szCs w:val="21"/>
                <w:shd w:val="clear" w:color="auto" w:fill="FFFFFF"/>
                <w14:textFill>
                  <w14:solidFill>
                    <w14:schemeClr w14:val="tx1"/>
                  </w14:solidFill>
                </w14:textFill>
              </w:rPr>
              <w:t>科目成绩及学生综合素质情况，确定</w:t>
            </w:r>
            <w:r>
              <w:rPr>
                <w:rFonts w:hint="eastAsia" w:ascii="Times New Roman" w:hAnsi="Times New Roman" w:cs="Times New Roman"/>
                <w:szCs w:val="21"/>
              </w:rPr>
              <w:t>最终复试名单。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130500</w:t>
            </w:r>
          </w:p>
        </w:tc>
        <w:tc>
          <w:tcPr>
            <w:tcW w:w="2130" w:type="dxa"/>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设计学</w:t>
            </w:r>
          </w:p>
        </w:tc>
        <w:tc>
          <w:tcPr>
            <w:tcW w:w="2131" w:type="dxa"/>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全日制</w:t>
            </w:r>
          </w:p>
        </w:tc>
        <w:tc>
          <w:tcPr>
            <w:tcW w:w="2131" w:type="dxa"/>
            <w:vMerge w:val="continue"/>
          </w:tcPr>
          <w:p>
            <w:pPr>
              <w:pStyle w:val="5"/>
              <w:widowControl/>
              <w:adjustRightInd w:val="0"/>
              <w:snapToGrid w:val="0"/>
              <w:spacing w:beforeAutospacing="0" w:afterAutospacing="0"/>
              <w:rPr>
                <w:rFonts w:ascii="Times New Roman" w:hAnsi="Times New Roman" w:eastAsia="宋体"/>
                <w:color w:val="000000" w:themeColor="text1"/>
                <w:sz w:val="2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130" w:type="dxa"/>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135107</w:t>
            </w:r>
          </w:p>
        </w:tc>
        <w:tc>
          <w:tcPr>
            <w:tcW w:w="2130" w:type="dxa"/>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美术</w:t>
            </w:r>
          </w:p>
        </w:tc>
        <w:tc>
          <w:tcPr>
            <w:tcW w:w="2131" w:type="dxa"/>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全日制</w:t>
            </w:r>
          </w:p>
        </w:tc>
        <w:tc>
          <w:tcPr>
            <w:tcW w:w="2131" w:type="dxa"/>
            <w:vMerge w:val="restart"/>
          </w:tcPr>
          <w:p>
            <w:pPr>
              <w:pStyle w:val="5"/>
              <w:widowControl/>
              <w:adjustRightInd w:val="0"/>
              <w:snapToGrid w:val="0"/>
              <w:spacing w:beforeAutospacing="0" w:afterAutospacing="0"/>
              <w:rPr>
                <w:rFonts w:ascii="Times New Roman" w:hAnsi="Times New Roman"/>
                <w:sz w:val="21"/>
                <w:szCs w:val="21"/>
              </w:rPr>
            </w:pPr>
            <w:r>
              <w:rPr>
                <w:rFonts w:hint="eastAsia" w:ascii="Times New Roman" w:hAnsi="Times New Roman"/>
                <w:sz w:val="21"/>
                <w:szCs w:val="21"/>
              </w:rPr>
              <w:t>1.符合调剂基本要求。</w:t>
            </w:r>
          </w:p>
          <w:p>
            <w:pPr>
              <w:pStyle w:val="5"/>
              <w:widowControl/>
              <w:adjustRightInd w:val="0"/>
              <w:snapToGrid w:val="0"/>
              <w:spacing w:beforeAutospacing="0" w:afterAutospacing="0"/>
              <w:rPr>
                <w:rFonts w:hint="eastAsia" w:ascii="Times New Roman" w:hAnsi="Times New Roman"/>
                <w:sz w:val="21"/>
                <w:szCs w:val="21"/>
              </w:rPr>
            </w:pPr>
            <w:r>
              <w:rPr>
                <w:rFonts w:hint="eastAsia" w:ascii="Times New Roman" w:hAnsi="Times New Roman"/>
                <w:sz w:val="21"/>
                <w:szCs w:val="21"/>
              </w:rPr>
              <w:t>2. 根据专业硕士的的专业属性，考生本科</w:t>
            </w:r>
            <w:r>
              <w:rPr>
                <w:rFonts w:hint="eastAsia" w:ascii="Times New Roman" w:hAnsi="Times New Roman"/>
                <w:sz w:val="21"/>
                <w:szCs w:val="21"/>
                <w:lang w:eastAsia="zh-CN"/>
              </w:rPr>
              <w:t>或第一学历必须</w:t>
            </w:r>
            <w:r>
              <w:rPr>
                <w:rFonts w:hint="eastAsia" w:ascii="Times New Roman" w:hAnsi="Times New Roman"/>
                <w:sz w:val="21"/>
                <w:szCs w:val="21"/>
              </w:rPr>
              <w:t>是艺术类的相关专业，并按照考试</w:t>
            </w:r>
            <w:r>
              <w:rPr>
                <w:rFonts w:hint="eastAsia" w:ascii="Times New Roman" w:hAnsi="Times New Roman"/>
                <w:sz w:val="21"/>
                <w:szCs w:val="21"/>
                <w:lang w:eastAsia="zh-CN"/>
              </w:rPr>
              <w:t>专业相近</w:t>
            </w:r>
            <w:r>
              <w:rPr>
                <w:rFonts w:hint="eastAsia" w:ascii="Times New Roman" w:hAnsi="Times New Roman"/>
                <w:sz w:val="21"/>
                <w:szCs w:val="21"/>
              </w:rPr>
              <w:t>原则</w:t>
            </w:r>
            <w:r>
              <w:rPr>
                <w:rFonts w:hint="eastAsia" w:ascii="Times New Roman" w:hAnsi="Times New Roman"/>
                <w:sz w:val="21"/>
                <w:szCs w:val="21"/>
                <w:lang w:eastAsia="zh-CN"/>
              </w:rPr>
              <w:t>进</w:t>
            </w:r>
            <w:r>
              <w:rPr>
                <w:rFonts w:hint="eastAsia" w:ascii="Times New Roman" w:hAnsi="Times New Roman"/>
                <w:sz w:val="21"/>
                <w:szCs w:val="21"/>
              </w:rPr>
              <w:t>行高分到低分排序。</w:t>
            </w:r>
          </w:p>
          <w:p>
            <w:pPr>
              <w:pStyle w:val="5"/>
              <w:widowControl/>
              <w:adjustRightInd w:val="0"/>
              <w:snapToGrid w:val="0"/>
              <w:spacing w:beforeAutospacing="0" w:afterAutospacing="0"/>
              <w:rPr>
                <w:rFonts w:ascii="Times New Roman" w:hAnsi="Times New Roman" w:eastAsia="宋体"/>
                <w:color w:val="000000" w:themeColor="text1"/>
                <w:sz w:val="21"/>
                <w:szCs w:val="21"/>
                <w:shd w:val="clear" w:color="auto" w:fill="FFFFFF"/>
                <w14:textFill>
                  <w14:solidFill>
                    <w14:schemeClr w14:val="tx1"/>
                  </w14:solidFill>
                </w14:textFill>
              </w:rPr>
            </w:pPr>
            <w:r>
              <w:rPr>
                <w:rFonts w:hint="eastAsia" w:ascii="Times New Roman" w:hAnsi="Times New Roman"/>
                <w:sz w:val="21"/>
                <w:szCs w:val="21"/>
              </w:rPr>
              <w:t>3. 在成绩相同情况下，方向将根据专业科目成绩及学生综合素质情况，确定最终复试名单。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2130" w:type="dxa"/>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135108</w:t>
            </w:r>
          </w:p>
        </w:tc>
        <w:tc>
          <w:tcPr>
            <w:tcW w:w="2130" w:type="dxa"/>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艺术设计</w:t>
            </w:r>
          </w:p>
        </w:tc>
        <w:tc>
          <w:tcPr>
            <w:tcW w:w="2131" w:type="dxa"/>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全日制</w:t>
            </w:r>
          </w:p>
        </w:tc>
        <w:tc>
          <w:tcPr>
            <w:tcW w:w="2131" w:type="dxa"/>
            <w:vMerge w:val="continue"/>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30" w:type="dxa"/>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135108</w:t>
            </w:r>
          </w:p>
        </w:tc>
        <w:tc>
          <w:tcPr>
            <w:tcW w:w="2130" w:type="dxa"/>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艺术设计</w:t>
            </w:r>
          </w:p>
        </w:tc>
        <w:tc>
          <w:tcPr>
            <w:tcW w:w="2131" w:type="dxa"/>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非全日制</w:t>
            </w:r>
          </w:p>
        </w:tc>
        <w:tc>
          <w:tcPr>
            <w:tcW w:w="2131" w:type="dxa"/>
            <w:vMerge w:val="restart"/>
          </w:tcPr>
          <w:p>
            <w:pPr>
              <w:pStyle w:val="5"/>
              <w:widowControl/>
              <w:adjustRightInd w:val="0"/>
              <w:snapToGrid w:val="0"/>
              <w:spacing w:beforeAutospacing="0" w:afterAutospacing="0"/>
              <w:rPr>
                <w:rFonts w:hint="eastAsia" w:ascii="Times New Roman" w:hAnsi="Times New Roman"/>
                <w:sz w:val="21"/>
                <w:szCs w:val="21"/>
              </w:rPr>
            </w:pPr>
            <w:r>
              <w:rPr>
                <w:rFonts w:hint="eastAsia" w:ascii="Times New Roman" w:hAnsi="Times New Roman"/>
                <w:sz w:val="21"/>
                <w:szCs w:val="21"/>
              </w:rPr>
              <w:t>1.达到国家A类地区艺术学分数线。</w:t>
            </w:r>
          </w:p>
          <w:p>
            <w:pPr>
              <w:pStyle w:val="5"/>
              <w:widowControl/>
              <w:adjustRightInd w:val="0"/>
              <w:snapToGrid w:val="0"/>
              <w:spacing w:beforeAutospacing="0" w:afterAutospacing="0"/>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sz w:val="21"/>
                <w:szCs w:val="21"/>
              </w:rPr>
              <w:t>2.学制为4年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30" w:type="dxa"/>
            <w:tcBorders>
              <w:bottom w:val="single" w:color="auto" w:sz="4" w:space="0"/>
            </w:tcBorders>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135107</w:t>
            </w:r>
          </w:p>
        </w:tc>
        <w:tc>
          <w:tcPr>
            <w:tcW w:w="2130" w:type="dxa"/>
            <w:tcBorders>
              <w:bottom w:val="single" w:color="auto" w:sz="4" w:space="0"/>
            </w:tcBorders>
            <w:vAlign w:val="center"/>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美术</w:t>
            </w:r>
          </w:p>
        </w:tc>
        <w:tc>
          <w:tcPr>
            <w:tcW w:w="2131" w:type="dxa"/>
            <w:tcBorders>
              <w:bottom w:val="single" w:color="auto" w:sz="4" w:space="0"/>
            </w:tcBorders>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r>
              <w:rPr>
                <w:rFonts w:hint="eastAsia" w:ascii="Times New Roman" w:hAnsi="Times New Roman" w:eastAsia="宋体"/>
                <w:color w:val="000000" w:themeColor="text1"/>
                <w:shd w:val="clear" w:color="auto" w:fill="FFFFFF"/>
                <w14:textFill>
                  <w14:solidFill>
                    <w14:schemeClr w14:val="tx1"/>
                  </w14:solidFill>
                </w14:textFill>
              </w:rPr>
              <w:t>非全日制</w:t>
            </w:r>
          </w:p>
        </w:tc>
        <w:tc>
          <w:tcPr>
            <w:tcW w:w="2131" w:type="dxa"/>
            <w:vMerge w:val="continue"/>
            <w:tcBorders>
              <w:bottom w:val="single" w:color="auto" w:sz="4" w:space="0"/>
            </w:tcBorders>
          </w:tcPr>
          <w:p>
            <w:pPr>
              <w:pStyle w:val="5"/>
              <w:widowControl/>
              <w:spacing w:beforeAutospacing="0" w:afterAutospacing="0" w:line="360" w:lineRule="auto"/>
              <w:rPr>
                <w:rFonts w:ascii="Times New Roman" w:hAnsi="Times New Roman" w:eastAsia="宋体"/>
                <w:color w:val="000000" w:themeColor="text1"/>
                <w:shd w:val="clear" w:color="auto" w:fill="FFFFFF"/>
                <w14:textFill>
                  <w14:solidFill>
                    <w14:schemeClr w14:val="tx1"/>
                  </w14:solidFill>
                </w14:textFill>
              </w:rPr>
            </w:pPr>
          </w:p>
        </w:tc>
      </w:tr>
    </w:tbl>
    <w:p>
      <w:pPr>
        <w:pStyle w:val="5"/>
        <w:widowControl/>
        <w:spacing w:beforeAutospacing="0" w:afterAutospacing="0" w:line="360" w:lineRule="auto"/>
        <w:ind w:firstLine="480" w:firstLineChars="200"/>
        <w:rPr>
          <w:rFonts w:ascii="Times New Roman" w:hAnsi="Times New Roman" w:eastAsia="宋体"/>
          <w:color w:val="000000" w:themeColor="text1"/>
          <w:shd w:val="clear" w:color="auto" w:fill="FFFFFF"/>
          <w14:textFill>
            <w14:solidFill>
              <w14:schemeClr w14:val="tx1"/>
            </w14:solidFill>
          </w14:textFill>
        </w:rPr>
      </w:pPr>
    </w:p>
    <w:p>
      <w:pPr>
        <w:pStyle w:val="5"/>
        <w:widowControl/>
        <w:spacing w:beforeAutospacing="0" w:afterAutospacing="0" w:line="360" w:lineRule="auto"/>
        <w:ind w:firstLine="480" w:firstLineChars="200"/>
        <w:rPr>
          <w:rFonts w:ascii="Times New Roman" w:hAnsi="Times New Roman" w:eastAsia="宋体"/>
          <w:color w:val="000000" w:themeColor="text1"/>
          <w:shd w:val="clear" w:color="auto" w:fill="FFFFFF"/>
          <w14:textFill>
            <w14:solidFill>
              <w14:schemeClr w14:val="tx1"/>
            </w14:solidFill>
          </w14:textFill>
        </w:rPr>
      </w:pPr>
    </w:p>
    <w:p>
      <w:pPr>
        <w:pStyle w:val="5"/>
        <w:widowControl/>
        <w:spacing w:beforeAutospacing="0" w:afterAutospacing="0" w:line="360" w:lineRule="auto"/>
        <w:ind w:firstLine="480" w:firstLineChars="200"/>
        <w:rPr>
          <w:rFonts w:ascii="Times New Roman" w:hAnsi="Times New Roman" w:eastAsia="宋体"/>
          <w:color w:val="000000" w:themeColor="text1"/>
          <w:shd w:val="clear" w:color="auto" w:fill="FFFFFF"/>
          <w14:textFill>
            <w14:solidFill>
              <w14:schemeClr w14:val="tx1"/>
            </w14:solidFill>
          </w14:textFill>
        </w:rPr>
      </w:pPr>
    </w:p>
    <w:p>
      <w:pPr>
        <w:pStyle w:val="5"/>
        <w:widowControl/>
        <w:spacing w:beforeAutospacing="0" w:afterAutospacing="0" w:line="360" w:lineRule="auto"/>
        <w:ind w:firstLine="480" w:firstLineChars="200"/>
        <w:rPr>
          <w:rFonts w:ascii="Times New Roman" w:hAnsi="Times New Roman" w:eastAsia="宋体"/>
          <w:color w:val="000000" w:themeColor="text1"/>
          <w:shd w:val="clear" w:color="auto" w:fill="FFFFFF"/>
          <w14:textFill>
            <w14:solidFill>
              <w14:schemeClr w14:val="tx1"/>
            </w14:solidFill>
          </w14:textFill>
        </w:rPr>
      </w:pPr>
    </w:p>
    <w:p>
      <w:pPr>
        <w:ind w:left="0" w:leftChars="0" w:firstLine="0" w:firstLineChars="0"/>
        <w:jc w:val="center"/>
        <w:rPr>
          <w:rFonts w:ascii="Adobe 宋体 Std L" w:hAnsi="Adobe 宋体 Std L" w:eastAsia="Adobe 宋体 Std L"/>
          <w:b/>
          <w:bCs/>
          <w:sz w:val="28"/>
          <w:szCs w:val="28"/>
        </w:rPr>
      </w:pPr>
      <w:r>
        <w:rPr>
          <w:rFonts w:hint="eastAsia" w:ascii="Adobe 宋体 Std L" w:hAnsi="Adobe 宋体 Std L" w:eastAsia="Adobe 宋体 Std L"/>
          <w:b/>
          <w:bCs/>
          <w:sz w:val="28"/>
          <w:szCs w:val="28"/>
        </w:rPr>
        <w:t>2020年江西</w:t>
      </w:r>
      <w:r>
        <w:rPr>
          <w:rFonts w:ascii="Adobe 宋体 Std L" w:hAnsi="Adobe 宋体 Std L" w:eastAsia="Adobe 宋体 Std L"/>
          <w:b/>
          <w:bCs/>
          <w:sz w:val="28"/>
          <w:szCs w:val="28"/>
        </w:rPr>
        <w:t>科技师范大学硕士研究生分专业计划表</w:t>
      </w:r>
    </w:p>
    <w:tbl>
      <w:tblPr>
        <w:tblStyle w:val="6"/>
        <w:tblW w:w="9420" w:type="dxa"/>
        <w:jc w:val="center"/>
        <w:tblLayout w:type="autofit"/>
        <w:tblCellMar>
          <w:top w:w="0" w:type="dxa"/>
          <w:left w:w="108" w:type="dxa"/>
          <w:bottom w:w="0" w:type="dxa"/>
          <w:right w:w="108" w:type="dxa"/>
        </w:tblCellMar>
      </w:tblPr>
      <w:tblGrid>
        <w:gridCol w:w="1060"/>
        <w:gridCol w:w="2020"/>
        <w:gridCol w:w="1080"/>
        <w:gridCol w:w="2380"/>
        <w:gridCol w:w="940"/>
        <w:gridCol w:w="760"/>
        <w:gridCol w:w="1180"/>
      </w:tblGrid>
      <w:tr>
        <w:tblPrEx>
          <w:tblCellMar>
            <w:top w:w="0" w:type="dxa"/>
            <w:left w:w="108" w:type="dxa"/>
            <w:bottom w:w="0" w:type="dxa"/>
            <w:right w:w="108" w:type="dxa"/>
          </w:tblCellMar>
        </w:tblPrEx>
        <w:trPr>
          <w:trHeight w:val="1140" w:hRule="atLeast"/>
          <w:jc w:val="center"/>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学院代码</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学院名称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专业代码</w:t>
            </w:r>
          </w:p>
        </w:tc>
        <w:tc>
          <w:tcPr>
            <w:tcW w:w="23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专业名称</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计划数</w:t>
            </w:r>
          </w:p>
        </w:tc>
        <w:tc>
          <w:tcPr>
            <w:tcW w:w="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少数民族骨干计划</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学习方式（1全日制、2非全日制）</w:t>
            </w:r>
          </w:p>
        </w:tc>
      </w:tr>
      <w:tr>
        <w:tblPrEx>
          <w:tblCellMar>
            <w:top w:w="0" w:type="dxa"/>
            <w:left w:w="108" w:type="dxa"/>
            <w:bottom w:w="0" w:type="dxa"/>
            <w:right w:w="108" w:type="dxa"/>
          </w:tblCellMar>
        </w:tblPrEx>
        <w:trPr>
          <w:trHeight w:val="285"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016</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美术学院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130400</w:t>
            </w:r>
          </w:p>
        </w:tc>
        <w:tc>
          <w:tcPr>
            <w:tcW w:w="23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美术学</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10</w:t>
            </w:r>
          </w:p>
        </w:tc>
        <w:tc>
          <w:tcPr>
            <w:tcW w:w="76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0</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CellMar>
            <w:top w:w="0" w:type="dxa"/>
            <w:left w:w="108" w:type="dxa"/>
            <w:bottom w:w="0" w:type="dxa"/>
            <w:right w:w="108" w:type="dxa"/>
          </w:tblCellMar>
        </w:tblPrEx>
        <w:trPr>
          <w:trHeight w:val="285"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016</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美术学院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130500</w:t>
            </w:r>
          </w:p>
        </w:tc>
        <w:tc>
          <w:tcPr>
            <w:tcW w:w="23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设计学</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18</w:t>
            </w:r>
          </w:p>
        </w:tc>
        <w:tc>
          <w:tcPr>
            <w:tcW w:w="76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0</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CellMar>
            <w:top w:w="0" w:type="dxa"/>
            <w:left w:w="108" w:type="dxa"/>
            <w:bottom w:w="0" w:type="dxa"/>
            <w:right w:w="108" w:type="dxa"/>
          </w:tblCellMar>
        </w:tblPrEx>
        <w:trPr>
          <w:trHeight w:val="285"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016</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美术学院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135107</w:t>
            </w:r>
          </w:p>
        </w:tc>
        <w:tc>
          <w:tcPr>
            <w:tcW w:w="23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美术</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18</w:t>
            </w:r>
          </w:p>
        </w:tc>
        <w:tc>
          <w:tcPr>
            <w:tcW w:w="76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CellMar>
            <w:top w:w="0" w:type="dxa"/>
            <w:left w:w="108" w:type="dxa"/>
            <w:bottom w:w="0" w:type="dxa"/>
            <w:right w:w="108" w:type="dxa"/>
          </w:tblCellMar>
        </w:tblPrEx>
        <w:trPr>
          <w:trHeight w:val="285"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016</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美术学院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135107</w:t>
            </w:r>
          </w:p>
        </w:tc>
        <w:tc>
          <w:tcPr>
            <w:tcW w:w="23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美术</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10</w:t>
            </w:r>
          </w:p>
        </w:tc>
        <w:tc>
          <w:tcPr>
            <w:tcW w:w="76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0</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w:t>
            </w:r>
          </w:p>
        </w:tc>
      </w:tr>
      <w:tr>
        <w:tblPrEx>
          <w:tblCellMar>
            <w:top w:w="0" w:type="dxa"/>
            <w:left w:w="108" w:type="dxa"/>
            <w:bottom w:w="0" w:type="dxa"/>
            <w:right w:w="108" w:type="dxa"/>
          </w:tblCellMar>
        </w:tblPrEx>
        <w:trPr>
          <w:trHeight w:val="285"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016</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美术学院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135108</w:t>
            </w:r>
          </w:p>
        </w:tc>
        <w:tc>
          <w:tcPr>
            <w:tcW w:w="23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艺术设计</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24</w:t>
            </w:r>
          </w:p>
        </w:tc>
        <w:tc>
          <w:tcPr>
            <w:tcW w:w="76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0</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w:t>
            </w:r>
          </w:p>
        </w:tc>
      </w:tr>
      <w:tr>
        <w:tblPrEx>
          <w:tblCellMar>
            <w:top w:w="0" w:type="dxa"/>
            <w:left w:w="108" w:type="dxa"/>
            <w:bottom w:w="0" w:type="dxa"/>
            <w:right w:w="108" w:type="dxa"/>
          </w:tblCellMar>
        </w:tblPrEx>
        <w:trPr>
          <w:trHeight w:val="285"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016</w:t>
            </w:r>
          </w:p>
        </w:tc>
        <w:tc>
          <w:tcPr>
            <w:tcW w:w="20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美术学院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135108</w:t>
            </w:r>
          </w:p>
        </w:tc>
        <w:tc>
          <w:tcPr>
            <w:tcW w:w="23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艺术设计</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11</w:t>
            </w:r>
          </w:p>
        </w:tc>
        <w:tc>
          <w:tcPr>
            <w:tcW w:w="76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0</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w:t>
            </w:r>
          </w:p>
        </w:tc>
      </w:tr>
    </w:tbl>
    <w:p>
      <w:pPr>
        <w:pStyle w:val="5"/>
        <w:widowControl/>
        <w:spacing w:beforeAutospacing="0" w:afterAutospacing="0" w:line="360" w:lineRule="auto"/>
        <w:ind w:firstLine="480" w:firstLineChars="200"/>
        <w:rPr>
          <w:rFonts w:ascii="Times New Roman" w:hAnsi="Times New Roman" w:eastAsia="宋体"/>
          <w:color w:val="000000" w:themeColor="text1"/>
          <w:shd w:val="clear" w:color="auto" w:fill="FFFFFF"/>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D5"/>
    <w:rsid w:val="000D4BD5"/>
    <w:rsid w:val="0041435A"/>
    <w:rsid w:val="004D496A"/>
    <w:rsid w:val="006B2022"/>
    <w:rsid w:val="00740494"/>
    <w:rsid w:val="009E5E5F"/>
    <w:rsid w:val="009F416F"/>
    <w:rsid w:val="00A02FE6"/>
    <w:rsid w:val="00EE2CB2"/>
    <w:rsid w:val="00F313B7"/>
    <w:rsid w:val="00FC4CD1"/>
    <w:rsid w:val="12DA3ECB"/>
    <w:rsid w:val="198F166F"/>
    <w:rsid w:val="35207F35"/>
    <w:rsid w:val="3F165BD0"/>
    <w:rsid w:val="406E306D"/>
    <w:rsid w:val="63AD22F6"/>
    <w:rsid w:val="6719757F"/>
    <w:rsid w:val="715A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B3B8C"/>
      <w:u w:val="non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788</Words>
  <Characters>4498</Characters>
  <Lines>37</Lines>
  <Paragraphs>10</Paragraphs>
  <TotalTime>1</TotalTime>
  <ScaleCrop>false</ScaleCrop>
  <LinksUpToDate>false</LinksUpToDate>
  <CharactersWithSpaces>5276</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2020-05-07T08:24:00Z</dcterms:created>
  <dc:creator>Administrator</dc:creator>
  <cp:lastModifiedBy>纤叶</cp:lastModifiedBy>
  <cp:lastPrinted>2020-05-13T08:23:00Z</cp:lastPrinted>
  <dcterms:modified xsi:type="dcterms:W3CDTF">2020-05-14T06:46:21Z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